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156" w:after="156"/>
      </w:pPr>
      <w:r>
        <w:rPr>
          <w:rFonts w:hint="eastAsia"/>
        </w:rPr>
        <w:t>“调枢通胃”理论的探讨与构建</w:t>
      </w:r>
    </w:p>
    <w:p>
      <w:pPr>
        <w:spacing w:before="156" w:after="156"/>
        <w:jc w:val="center"/>
        <w:rPr>
          <w:rFonts w:hint="eastAsia"/>
        </w:rPr>
      </w:pPr>
      <w:r>
        <w:rPr>
          <w:rFonts w:hint="eastAsia"/>
        </w:rPr>
        <w:t>——脾胃学说的继承与创新</w:t>
      </w:r>
    </w:p>
    <w:p>
      <w:pPr>
        <w:spacing w:before="156" w:after="156"/>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魏玮</w:t>
      </w:r>
      <w:r>
        <w:rPr>
          <w:rFonts w:hint="eastAsia"/>
          <w:color w:val="000000" w:themeColor="text1"/>
          <w:vertAlign w:val="superscript"/>
          <w14:textFill>
            <w14:solidFill>
              <w14:schemeClr w14:val="tx1"/>
            </w14:solidFill>
          </w14:textFill>
        </w:rPr>
        <w:t>1</w:t>
      </w:r>
      <w:r>
        <w:rPr>
          <w:color w:val="000000" w:themeColor="text1"/>
          <w:vertAlign w:val="superscript"/>
          <w14:textFill>
            <w14:solidFill>
              <w14:schemeClr w14:val="tx1"/>
            </w14:solidFill>
          </w14:textFill>
        </w:rPr>
        <w:t xml:space="preserve">, </w:t>
      </w:r>
      <w:r>
        <w:rPr>
          <w:rFonts w:hint="eastAsia"/>
          <w:color w:val="000000" w:themeColor="text1"/>
          <w:vertAlign w:val="superscript"/>
          <w14:textFill>
            <w14:solidFill>
              <w14:schemeClr w14:val="tx1"/>
            </w14:solidFill>
          </w14:textFill>
        </w:rPr>
        <w:t>6</w:t>
      </w:r>
      <w:r>
        <w:rPr>
          <w:color w:val="000000" w:themeColor="text1"/>
          <w:vertAlign w:val="superscript"/>
          <w14:textFill>
            <w14:solidFill>
              <w14:schemeClr w14:val="tx1"/>
            </w14:solidFill>
          </w14:textFill>
        </w:rPr>
        <w:t xml:space="preserve"> *</w:t>
      </w:r>
      <w:r>
        <w:rPr>
          <w:rFonts w:hint="eastAsia"/>
          <w:color w:val="000000" w:themeColor="text1"/>
          <w14:textFill>
            <w14:solidFill>
              <w14:schemeClr w14:val="tx1"/>
            </w14:solidFill>
          </w14:textFill>
        </w:rPr>
        <w:t>荣培晶</w:t>
      </w:r>
      <w:r>
        <w:rPr>
          <w:rFonts w:hint="eastAsia"/>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陈建德</w:t>
      </w:r>
      <w:r>
        <w:rPr>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郭宇</w:t>
      </w:r>
      <w:r>
        <w:rPr>
          <w:color w:val="000000" w:themeColor="text1"/>
          <w:vertAlign w:val="superscript"/>
          <w14:textFill>
            <w14:solidFill>
              <w14:schemeClr w14:val="tx1"/>
            </w14:solidFill>
          </w14:textFill>
        </w:rPr>
        <w:t>1, 6</w:t>
      </w:r>
      <w:r>
        <w:rPr>
          <w:rFonts w:hint="eastAsia"/>
          <w:color w:val="000000" w:themeColor="text1"/>
          <w14:textFill>
            <w14:solidFill>
              <w14:schemeClr w14:val="tx1"/>
            </w14:solidFill>
          </w14:textFill>
        </w:rPr>
        <w:t>王瑜</w:t>
      </w:r>
      <w:r>
        <w:rPr>
          <w:rFonts w:hint="eastAsia"/>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刘兵</w:t>
      </w:r>
      <w:r>
        <w:rPr>
          <w:rFonts w:hint="eastAsia"/>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苏晓兰</w:t>
      </w:r>
      <w:r>
        <w:rPr>
          <w:rFonts w:hint="eastAsia"/>
          <w:color w:val="000000" w:themeColor="text1"/>
          <w:vertAlign w:val="superscript"/>
          <w14:textFill>
            <w14:solidFill>
              <w14:schemeClr w14:val="tx1"/>
            </w14:solidFill>
          </w14:textFill>
        </w:rPr>
        <w:t>1</w:t>
      </w:r>
      <w:r>
        <w:rPr>
          <w:color w:val="000000" w:themeColor="text1"/>
          <w:vertAlign w:val="superscript"/>
          <w14:textFill>
            <w14:solidFill>
              <w14:schemeClr w14:val="tx1"/>
            </w14:solidFill>
          </w14:textFill>
        </w:rPr>
        <w:t>, 6</w:t>
      </w:r>
      <w:r>
        <w:rPr>
          <w:rFonts w:hint="eastAsia"/>
          <w:color w:val="000000" w:themeColor="text1"/>
          <w14:textFill>
            <w14:solidFill>
              <w14:schemeClr w14:val="tx1"/>
            </w14:solidFill>
          </w14:textFill>
        </w:rPr>
        <w:t>杨俭勤</w:t>
      </w:r>
      <w:r>
        <w:rPr>
          <w:rFonts w:hint="eastAsia"/>
          <w:color w:val="000000" w:themeColor="text1"/>
          <w:vertAlign w:val="superscript"/>
          <w14:textFill>
            <w14:solidFill>
              <w14:schemeClr w14:val="tx1"/>
            </w14:solidFill>
          </w14:textFill>
        </w:rPr>
        <w:t>1,6</w:t>
      </w:r>
      <w:r>
        <w:rPr>
          <w:rFonts w:hint="eastAsia"/>
          <w:color w:val="000000" w:themeColor="text1"/>
          <w14:textFill>
            <w14:solidFill>
              <w14:schemeClr w14:val="tx1"/>
            </w14:solidFill>
          </w14:textFill>
        </w:rPr>
        <w:t>杨洋</w:t>
      </w:r>
      <w:r>
        <w:rPr>
          <w:rFonts w:hint="eastAsia"/>
          <w:color w:val="000000" w:themeColor="text1"/>
          <w:vertAlign w:val="superscript"/>
          <w14:textFill>
            <w14:solidFill>
              <w14:schemeClr w14:val="tx1"/>
            </w14:solidFill>
          </w14:textFill>
        </w:rPr>
        <w:t>1,</w:t>
      </w:r>
      <w:r>
        <w:rPr>
          <w:color w:val="000000" w:themeColor="text1"/>
          <w:vertAlign w:val="superscript"/>
          <w14:textFill>
            <w14:solidFill>
              <w14:schemeClr w14:val="tx1"/>
            </w14:solidFill>
          </w14:textFill>
        </w:rPr>
        <w:t xml:space="preserve"> 6</w:t>
      </w:r>
      <w:r>
        <w:rPr>
          <w:rFonts w:hint="eastAsia"/>
          <w:color w:val="000000" w:themeColor="text1"/>
          <w14:textFill>
            <w14:solidFill>
              <w14:schemeClr w14:val="tx1"/>
            </w14:solidFill>
          </w14:textFill>
        </w:rPr>
        <w:t>从禹</w:t>
      </w:r>
      <w:r>
        <w:rPr>
          <w:rFonts w:hint="eastAsia"/>
          <w:color w:val="000000" w:themeColor="text1"/>
          <w:vertAlign w:val="superscript"/>
          <w14:textFill>
            <w14:solidFill>
              <w14:schemeClr w14:val="tx1"/>
            </w14:solidFill>
          </w14:textFill>
        </w:rPr>
        <w:t xml:space="preserve">1, </w:t>
      </w:r>
      <w:r>
        <w:rPr>
          <w:color w:val="000000" w:themeColor="text1"/>
          <w:vertAlign w:val="superscript"/>
          <w14:textFill>
            <w14:solidFill>
              <w14:schemeClr w14:val="tx1"/>
            </w14:solidFill>
          </w14:textFill>
        </w:rPr>
        <w:t>6</w:t>
      </w:r>
      <w:r>
        <w:rPr>
          <w:rFonts w:hint="eastAsia"/>
          <w:color w:val="000000" w:themeColor="text1"/>
          <w14:textFill>
            <w14:solidFill>
              <w14:schemeClr w14:val="tx1"/>
            </w14:solidFill>
          </w14:textFill>
        </w:rPr>
        <w:t>韩博宇</w:t>
      </w:r>
      <w:r>
        <w:rPr>
          <w:rFonts w:hint="eastAsia"/>
          <w:color w:val="000000" w:themeColor="text1"/>
          <w:vertAlign w:val="superscript"/>
          <w14:textFill>
            <w14:solidFill>
              <w14:schemeClr w14:val="tx1"/>
            </w14:solidFill>
          </w14:textFill>
        </w:rPr>
        <w:t xml:space="preserve">1, </w:t>
      </w:r>
      <w:r>
        <w:rPr>
          <w:color w:val="000000" w:themeColor="text1"/>
          <w:vertAlign w:val="superscript"/>
          <w14:textFill>
            <w14:solidFill>
              <w14:schemeClr w14:val="tx1"/>
            </w14:solidFill>
          </w14:textFill>
        </w:rPr>
        <w:t>4</w:t>
      </w:r>
      <w:r>
        <w:rPr>
          <w:rFonts w:hint="eastAsia"/>
          <w:color w:val="000000" w:themeColor="text1"/>
          <w:vertAlign w:val="superscript"/>
          <w14:textFill>
            <w14:solidFill>
              <w14:schemeClr w14:val="tx1"/>
            </w14:solidFill>
          </w14:textFill>
        </w:rPr>
        <w:t xml:space="preserve">, </w:t>
      </w:r>
      <w:r>
        <w:rPr>
          <w:color w:val="000000" w:themeColor="text1"/>
          <w:vertAlign w:val="superscript"/>
          <w14:textFill>
            <w14:solidFill>
              <w14:schemeClr w14:val="tx1"/>
            </w14:solidFill>
          </w14:textFill>
        </w:rPr>
        <w:t>6</w:t>
      </w:r>
      <w:r>
        <w:rPr>
          <w:rFonts w:hint="eastAsia"/>
          <w:color w:val="000000" w:themeColor="text1"/>
          <w14:textFill>
            <w14:solidFill>
              <w14:schemeClr w14:val="tx1"/>
            </w14:solidFill>
          </w14:textFill>
        </w:rPr>
        <w:t>段玉婷</w:t>
      </w:r>
      <w:r>
        <w:rPr>
          <w:color w:val="000000" w:themeColor="text1"/>
          <w:vertAlign w:val="superscript"/>
          <w14:textFill>
            <w14:solidFill>
              <w14:schemeClr w14:val="tx1"/>
            </w14:solidFill>
          </w14:textFill>
        </w:rPr>
        <w:t>5</w:t>
      </w:r>
      <w:r>
        <w:rPr>
          <w:rFonts w:hint="eastAsia"/>
          <w:color w:val="000000" w:themeColor="text1"/>
          <w14:textFill>
            <w14:solidFill>
              <w14:schemeClr w14:val="tx1"/>
            </w14:solidFill>
          </w14:textFill>
        </w:rPr>
        <w:t>魏茹涵</w:t>
      </w:r>
      <w:r>
        <w:rPr>
          <w:color w:val="000000" w:themeColor="text1"/>
          <w:vertAlign w:val="superscript"/>
          <w14:textFill>
            <w14:solidFill>
              <w14:schemeClr w14:val="tx1"/>
            </w14:solidFill>
          </w14:textFill>
        </w:rPr>
        <w:t>7</w:t>
      </w:r>
      <w:r>
        <w:rPr>
          <w:rFonts w:hint="eastAsia"/>
          <w:color w:val="000000" w:themeColor="text1"/>
          <w14:textFill>
            <w14:solidFill>
              <w14:schemeClr w14:val="tx1"/>
            </w14:solidFill>
          </w14:textFill>
        </w:rPr>
        <w:t>朱佳杰</w:t>
      </w:r>
      <w:r>
        <w:rPr>
          <w:rFonts w:hint="eastAsia"/>
          <w:color w:val="000000" w:themeColor="text1"/>
          <w:vertAlign w:val="superscript"/>
          <w14:textFill>
            <w14:solidFill>
              <w14:schemeClr w14:val="tx1"/>
            </w14:solidFill>
          </w14:textFill>
        </w:rPr>
        <w:t>1,</w:t>
      </w:r>
      <w:r>
        <w:rPr>
          <w:color w:val="000000" w:themeColor="text1"/>
          <w:vertAlign w:val="superscript"/>
          <w14:textFill>
            <w14:solidFill>
              <w14:schemeClr w14:val="tx1"/>
            </w14:solidFill>
          </w14:textFill>
        </w:rPr>
        <w:t xml:space="preserve"> 6</w:t>
      </w:r>
      <w:r>
        <w:rPr>
          <w:rFonts w:hint="eastAsia"/>
          <w:color w:val="000000" w:themeColor="text1"/>
          <w14:textFill>
            <w14:solidFill>
              <w14:schemeClr w14:val="tx1"/>
            </w14:solidFill>
          </w14:textFill>
        </w:rPr>
        <w:t>尹璐</w:t>
      </w:r>
      <w:r>
        <w:rPr>
          <w:rFonts w:hint="eastAsia"/>
          <w:color w:val="000000" w:themeColor="text1"/>
          <w:vertAlign w:val="superscript"/>
          <w14:textFill>
            <w14:solidFill>
              <w14:schemeClr w14:val="tx1"/>
            </w14:solidFill>
          </w14:textFill>
        </w:rPr>
        <w:t xml:space="preserve">1, </w:t>
      </w:r>
      <w:r>
        <w:rPr>
          <w:color w:val="000000" w:themeColor="text1"/>
          <w:vertAlign w:val="superscript"/>
          <w14:textFill>
            <w14:solidFill>
              <w14:schemeClr w14:val="tx1"/>
            </w14:solidFill>
          </w14:textFill>
        </w:rPr>
        <w:t>4</w:t>
      </w:r>
      <w:r>
        <w:rPr>
          <w:rFonts w:hint="eastAsia"/>
          <w:color w:val="000000" w:themeColor="text1"/>
          <w:vertAlign w:val="superscript"/>
          <w14:textFill>
            <w14:solidFill>
              <w14:schemeClr w14:val="tx1"/>
            </w14:solidFill>
          </w14:textFill>
        </w:rPr>
        <w:t>, 6</w:t>
      </w:r>
    </w:p>
    <w:p>
      <w:pPr>
        <w:spacing w:before="156" w:after="156"/>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 中国中医科学院望京医院，北京市朝阳区望京中环南路6号，100102；2. 中国中医科学院针灸研究所；3</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美国约翰霍普金斯大学医学院；4. 北京中医药大学研究生院；</w:t>
      </w:r>
      <w:r>
        <w:rPr>
          <w:color w:val="000000" w:themeColor="text1"/>
          <w14:textFill>
            <w14:solidFill>
              <w14:schemeClr w14:val="tx1"/>
            </w14:solidFill>
          </w14:textFill>
        </w:rPr>
        <w:t xml:space="preserve">5. </w:t>
      </w:r>
      <w:r>
        <w:rPr>
          <w:rFonts w:hint="eastAsia"/>
          <w:color w:val="000000" w:themeColor="text1"/>
          <w14:textFill>
            <w14:solidFill>
              <w14:schemeClr w14:val="tx1"/>
            </w14:solidFill>
          </w14:textFill>
        </w:rPr>
        <w:t>广州中医药大学针灸临床康复医学院；6. 功能性胃肠病中医诊治北京市重点实验室；7</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克利夫兰医学院）</w:t>
      </w:r>
    </w:p>
    <w:p>
      <w:pPr>
        <w:spacing w:before="156" w:after="156"/>
        <w:jc w:val="center"/>
      </w:pPr>
      <w:r>
        <w:rPr>
          <w:rFonts w:hint="eastAsia"/>
        </w:rPr>
        <w:t>*通讯作者：</w:t>
      </w:r>
      <w:r>
        <w:t>sxxtyy@sina.com，</w:t>
      </w:r>
      <w:r>
        <w:rPr>
          <w:rFonts w:hint="eastAsia"/>
        </w:rPr>
        <w:t>(</w:t>
      </w:r>
      <w:r>
        <w:t>010)8</w:t>
      </w:r>
      <w:r>
        <w:rPr>
          <w:rFonts w:hint="eastAsia"/>
        </w:rPr>
        <w:t>4739719</w:t>
      </w:r>
    </w:p>
    <w:p>
      <w:pPr>
        <w:spacing w:before="156" w:after="156"/>
        <w:jc w:val="center"/>
      </w:pPr>
      <w:commentRangeStart w:id="0"/>
      <w:r>
        <w:rPr>
          <w:rFonts w:hint="eastAsia"/>
        </w:rPr>
        <w:t>基金项目</w:t>
      </w:r>
      <w:commentRangeEnd w:id="0"/>
      <w:r>
        <w:rPr>
          <w:rStyle w:val="10"/>
        </w:rPr>
        <w:commentReference w:id="0"/>
      </w:r>
      <w:r>
        <w:rPr>
          <w:rFonts w:hint="eastAsia"/>
        </w:rPr>
        <w:t>：国家自然科学基金（81573806，81774066，81703923）国家科技部中医药行业专项（201507001-09）</w:t>
      </w:r>
    </w:p>
    <w:p>
      <w:p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摘要]随着现代医学的飞速进展，秉承《黄帝内经》脾胃学说，与当代病证结合的中西医整合临床实践特点，提出“调枢通胃”的现代中医理论。本文具体阐释“调枢”“通胃”的内涵与外延，探讨“调枢通胃”理论的构建及意临床实践指导意义，为传统中医理论与现代医学有机结合探索新模式。</w:t>
      </w:r>
    </w:p>
    <w:p>
      <w:p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[关键词]：调枢通胃，枢，理论创新，脾胃学说，脑-肠-微生态轴</w:t>
      </w:r>
    </w:p>
    <w:p>
      <w:pPr>
        <w:spacing w:before="156" w:after="156"/>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D</w:t>
      </w:r>
      <w:r>
        <w:rPr>
          <w:color w:val="000000" w:themeColor="text1"/>
          <w14:textFill>
            <w14:solidFill>
              <w14:schemeClr w14:val="tx1"/>
            </w14:solidFill>
          </w14:textFill>
        </w:rPr>
        <w:t xml:space="preserve">iscussion and the Structure of </w:t>
      </w:r>
      <w:r>
        <w:rPr>
          <w:rFonts w:hint="eastAsia"/>
          <w:color w:val="000000" w:themeColor="text1"/>
          <w14:textFill>
            <w14:solidFill>
              <w14:schemeClr w14:val="tx1"/>
            </w14:solidFill>
          </w14:textFill>
        </w:rPr>
        <w:t>T</w:t>
      </w:r>
      <w:r>
        <w:rPr>
          <w:color w:val="000000" w:themeColor="text1"/>
          <w14:textFill>
            <w14:solidFill>
              <w14:schemeClr w14:val="tx1"/>
            </w14:solidFill>
          </w14:textFill>
        </w:rPr>
        <w:t>he Theory of "B</w:t>
      </w:r>
      <w:r>
        <w:rPr>
          <w:rFonts w:hint="eastAsia"/>
          <w:color w:val="000000" w:themeColor="text1"/>
          <w14:textFill>
            <w14:solidFill>
              <w14:schemeClr w14:val="tx1"/>
            </w14:solidFill>
          </w14:textFill>
        </w:rPr>
        <w:t>alancing</w:t>
      </w:r>
      <w:r>
        <w:rPr>
          <w:color w:val="000000" w:themeColor="text1"/>
          <w14:textFill>
            <w14:solidFill>
              <w14:schemeClr w14:val="tx1"/>
            </w14:solidFill>
          </w14:textFill>
        </w:rPr>
        <w:t xml:space="preserve"> Digestive Functions by Regulating ‘Pivot’ "</w:t>
      </w:r>
    </w:p>
    <w:p>
      <w:pPr>
        <w:wordWrap w:val="0"/>
        <w:spacing w:before="156" w:after="156"/>
        <w:jc w:val="right"/>
        <w:rPr>
          <w:color w:val="000000" w:themeColor="text1"/>
          <w14:textFill>
            <w14:solidFill>
              <w14:schemeClr w14:val="tx1"/>
            </w14:solidFill>
          </w14:textFill>
        </w:rPr>
      </w:pPr>
      <w:bookmarkStart w:id="0" w:name="_Hlk507615147"/>
      <w:r>
        <w:rPr>
          <w:color w:val="000000" w:themeColor="text1"/>
          <w14:textFill>
            <w14:solidFill>
              <w14:schemeClr w14:val="tx1"/>
            </w14:solidFill>
          </w14:textFill>
        </w:rPr>
        <w:t>--Inheritance and Innovation of The Theory of Spleen and Stomach</w:t>
      </w:r>
    </w:p>
    <w:bookmarkEnd w:id="0"/>
    <w:p>
      <w:pPr>
        <w:spacing w:before="156" w:after="156"/>
        <w:rPr>
          <w:color w:val="000000" w:themeColor="text1"/>
          <w14:textFill>
            <w14:solidFill>
              <w14:schemeClr w14:val="tx1"/>
            </w14:solidFill>
          </w14:textFill>
        </w:rPr>
      </w:pPr>
      <w:r>
        <w:rPr>
          <w:color w:val="000000" w:themeColor="text1"/>
          <w14:textFill>
            <w14:solidFill>
              <w14:schemeClr w14:val="tx1"/>
            </w14:solidFill>
          </w14:textFill>
        </w:rPr>
        <w:t xml:space="preserve">Abstract: </w:t>
      </w:r>
      <w:bookmarkStart w:id="1" w:name="_Hlk507614861"/>
      <w:r>
        <w:rPr>
          <w:color w:val="000000" w:themeColor="text1"/>
          <w14:textFill>
            <w14:solidFill>
              <w14:schemeClr w14:val="tx1"/>
            </w14:solidFill>
          </w14:textFill>
        </w:rPr>
        <w:t>The theory of spleen and stomach</w:t>
      </w:r>
      <w:bookmarkEnd w:id="1"/>
      <w:r>
        <w:rPr>
          <w:color w:val="000000" w:themeColor="text1"/>
          <w14:textFill>
            <w14:solidFill>
              <w14:schemeClr w14:val="tx1"/>
            </w14:solidFill>
          </w14:textFill>
        </w:rPr>
        <w:t xml:space="preserve"> is an important part of Chinese medicine. It has been developing continuously since the The Yellow Emperor’s Inner Classic. With the rapid development of modern medicine, </w:t>
      </w:r>
      <w:r>
        <w:rPr>
          <w:rFonts w:hint="eastAsia"/>
          <w:color w:val="000000" w:themeColor="text1"/>
          <w14:textFill>
            <w14:solidFill>
              <w14:schemeClr w14:val="tx1"/>
            </w14:solidFill>
          </w14:textFill>
        </w:rPr>
        <w:t>considering</w:t>
      </w:r>
      <w:r>
        <w:rPr>
          <w:color w:val="000000" w:themeColor="text1"/>
          <w14:textFill>
            <w14:solidFill>
              <w14:schemeClr w14:val="tx1"/>
            </w14:solidFill>
          </w14:textFill>
        </w:rPr>
        <w:t xml:space="preserve"> the clinical diagnosis and treatment characteristics of combination of disease identification and syndrome typing, according to </w:t>
      </w:r>
      <w:r>
        <w:rPr>
          <w:rFonts w:hint="eastAsia"/>
          <w:color w:val="000000" w:themeColor="text1"/>
          <w14:textFill>
            <w14:solidFill>
              <w14:schemeClr w14:val="tx1"/>
            </w14:solidFill>
          </w14:textFill>
        </w:rPr>
        <w:t>the</w:t>
      </w:r>
      <w:r>
        <w:rPr>
          <w:color w:val="000000" w:themeColor="text1"/>
          <w14:textFill>
            <w14:solidFill>
              <w14:schemeClr w14:val="tx1"/>
            </w14:solidFill>
          </w14:textFill>
        </w:rPr>
        <w:t xml:space="preserve"> theory of spleen and stomach and the modern medicine theory, we have developed the "</w:t>
      </w:r>
      <w:r>
        <w:rPr>
          <w:rFonts w:hint="eastAsia"/>
          <w:color w:val="000000" w:themeColor="text1"/>
          <w14:textFill>
            <w14:solidFill>
              <w14:schemeClr w14:val="tx1"/>
            </w14:solidFill>
          </w14:textFill>
        </w:rPr>
        <w:t>balancing</w:t>
      </w:r>
      <w:r>
        <w:rPr>
          <w:color w:val="000000" w:themeColor="text1"/>
          <w14:textFill>
            <w14:solidFill>
              <w14:schemeClr w14:val="tx1"/>
            </w14:solidFill>
          </w14:textFill>
        </w:rPr>
        <w:t xml:space="preserve"> digestive functions by regulating ‘pivot’ " theory. This article will interpret its connotation and extension, and discuss about its structure and significance, so as to guide the clinic and meet the needs of the times. discuss the construction </w:t>
      </w:r>
      <w:r>
        <w:rPr>
          <w:rFonts w:hint="eastAsia"/>
          <w:color w:val="000000" w:themeColor="text1"/>
          <w14:textFill>
            <w14:solidFill>
              <w14:schemeClr w14:val="tx1"/>
            </w14:solidFill>
          </w14:textFill>
        </w:rPr>
        <w:t>and</w:t>
      </w:r>
      <w:r>
        <w:rPr>
          <w:color w:val="000000" w:themeColor="text1"/>
          <w14:textFill>
            <w14:solidFill>
              <w14:schemeClr w14:val="tx1"/>
            </w14:solidFill>
          </w14:textFill>
        </w:rPr>
        <w:t xml:space="preserve"> the connotation of the theory of "</w:t>
      </w:r>
      <w:r>
        <w:rPr>
          <w:rFonts w:hint="eastAsia"/>
          <w:color w:val="000000" w:themeColor="text1"/>
          <w14:textFill>
            <w14:solidFill>
              <w14:schemeClr w14:val="tx1"/>
            </w14:solidFill>
          </w14:textFill>
        </w:rPr>
        <w:t xml:space="preserve"> balancing</w:t>
      </w:r>
      <w:r>
        <w:rPr>
          <w:color w:val="000000" w:themeColor="text1"/>
          <w14:textFill>
            <w14:solidFill>
              <w14:schemeClr w14:val="tx1"/>
            </w14:solidFill>
          </w14:textFill>
        </w:rPr>
        <w:t xml:space="preserve"> digestive functions by regulating ‘pivot’". It’ll explore a new model for the organic combination of traditional Chinese medicine theory and the modern medicine. </w:t>
      </w:r>
    </w:p>
    <w:p>
      <w:pPr>
        <w:spacing w:before="156" w:after="156"/>
        <w:rPr>
          <w:color w:val="000000" w:themeColor="text1"/>
          <w14:textFill>
            <w14:solidFill>
              <w14:schemeClr w14:val="tx1"/>
            </w14:solidFill>
          </w14:textFill>
        </w:rPr>
      </w:pPr>
      <w:r>
        <w:rPr>
          <w:color w:val="000000" w:themeColor="text1"/>
          <w14:textFill>
            <w14:solidFill>
              <w14:schemeClr w14:val="tx1"/>
            </w14:solidFill>
          </w14:textFill>
        </w:rPr>
        <w:t xml:space="preserve">Key words: </w:t>
      </w:r>
      <w:r>
        <w:rPr>
          <w:rFonts w:hint="eastAsia"/>
          <w:color w:val="000000" w:themeColor="text1"/>
          <w14:textFill>
            <w14:solidFill>
              <w14:schemeClr w14:val="tx1"/>
            </w14:solidFill>
          </w14:textFill>
        </w:rPr>
        <w:t>balancing</w:t>
      </w:r>
      <w:r>
        <w:rPr>
          <w:color w:val="000000" w:themeColor="text1"/>
          <w14:textFill>
            <w14:solidFill>
              <w14:schemeClr w14:val="tx1"/>
            </w14:solidFill>
          </w14:textFill>
        </w:rPr>
        <w:t xml:space="preserve"> digestive functions by regulating “pivot”, theoretical innovation, the theory of spleen and stomach, </w:t>
      </w:r>
      <w:r>
        <w:rPr>
          <w:rFonts w:hint="eastAsia"/>
        </w:rPr>
        <w:t>b</w:t>
      </w:r>
      <w:r>
        <w:t>rain-gut-microbiota axis</w:t>
      </w:r>
    </w:p>
    <w:p>
      <w:pPr>
        <w:spacing w:before="156" w:after="156"/>
        <w:ind w:firstLine="424" w:firstLineChars="202"/>
      </w:pPr>
    </w:p>
    <w:p>
      <w:pPr>
        <w:spacing w:before="156" w:after="156"/>
        <w:ind w:firstLine="424" w:firstLineChars="202"/>
      </w:pPr>
      <w:r>
        <w:rPr>
          <w:rFonts w:hint="eastAsia"/>
        </w:rPr>
        <w:t xml:space="preserve"> 随着现代疾病谱日趋复杂多样，现代医学成井喷式发展，以“脑-肠-微生态轴”为代表的新理论，内窥镜为代表的新兴诊疗手段，小分子靶向药物为代表的新型药物，无不提示现代医学已经进入迅猛发展期。随着我国《中医药法》颁布，以及国家中西医并重发展策略的提出，预示着中医发展机遇期已到来。但传统的中医理论虽以整体观念为基石，内涵丰富，但由于理论体系独立于现代医学以外，相对于现代医学知识爆炸式发展相对滞后，难以满足当前病证结合疾病的临床需要。面对困境，</w:t>
      </w:r>
      <w:r>
        <w:rPr>
          <w:rFonts w:hint="eastAsia" w:asciiTheme="minorEastAsia" w:hAnsiTheme="minorEastAsia" w:eastAsiaTheme="minorEastAsia"/>
          <w:b w:val="0"/>
        </w:rPr>
        <w:t>我团队</w:t>
      </w:r>
      <w:r>
        <w:rPr>
          <w:rFonts w:hint="eastAsia" w:asciiTheme="minorEastAsia" w:hAnsiTheme="minorEastAsia"/>
        </w:rPr>
        <w:t>在中西医整合临床工作中积极思考，认为现代中医发展必须融合中医传统理论与现代医学技术，提出“古为今用、洋为中用、他为我用”的中国医学发展创新思维。在此思维指导下，团队</w:t>
      </w:r>
      <w:r>
        <w:rPr>
          <w:rFonts w:hint="eastAsia" w:asciiTheme="minorEastAsia" w:hAnsiTheme="minorEastAsia" w:eastAsiaTheme="minorEastAsia"/>
          <w:b w:val="0"/>
        </w:rPr>
        <w:t>总结提出</w:t>
      </w:r>
      <w:r>
        <w:rPr>
          <w:rFonts w:hint="eastAsia"/>
        </w:rPr>
        <w:t>“调枢通胃”的现代中医理论：即通调气机之枢脾胃、神明之枢心脑（囊括神经中枢概念）、开合之枢少阳以及水谷之海—胃（囊括消化系统概念），以达到治疗疾病的目的。“枢”被赋予“位置”和“功能”的新内涵，“调枢”可以看做是调控疾病及其病理变化过程的关键环节。“调枢通胃”理论强调气机通畅、神志安和、水谷纳化有常，以达机体整体调控稳健的状态，与现代医学的“脑-肠-微生态轴”强调精神心理因素、神经-内分泌免疫调控网络与肠道微生态三者之间的动态关联不谋而合。</w:t>
      </w:r>
    </w:p>
    <w:p>
      <w:pPr>
        <w:spacing w:before="156" w:after="156"/>
        <w:rPr>
          <w:rFonts w:ascii="黑体" w:hAnsi="黑体" w:eastAsia="黑体"/>
          <w:b/>
        </w:rPr>
      </w:pPr>
      <w:r>
        <w:rPr>
          <w:rFonts w:hint="eastAsia" w:ascii="黑体" w:hAnsi="黑体" w:eastAsia="黑体"/>
          <w:b/>
        </w:rPr>
        <w:t>1 “调枢通胃”理论依据</w:t>
      </w:r>
    </w:p>
    <w:p>
      <w:pPr>
        <w:spacing w:before="156" w:after="156"/>
        <w:rPr>
          <w:rFonts w:ascii="楷体" w:hAnsi="楷体" w:eastAsia="楷体"/>
        </w:rPr>
      </w:pPr>
      <w:r>
        <w:rPr>
          <w:rFonts w:hint="eastAsia" w:ascii="楷体" w:hAnsi="楷体" w:eastAsia="楷体"/>
        </w:rPr>
        <w:t>1.1中医理论——脾胃学说</w:t>
      </w:r>
    </w:p>
    <w:p>
      <w:pPr>
        <w:spacing w:before="156" w:after="156"/>
        <w:ind w:firstLine="424" w:firstLineChars="202"/>
      </w:pPr>
      <w:r>
        <w:rPr>
          <w:rFonts w:hint="eastAsia"/>
        </w:rPr>
        <w:t>脾胃学说肇始于《黄帝内经》，继承于《伤寒论》，发展于《脾胃论》，完善于叶天士，是中医理论的重要组成部分。</w:t>
      </w:r>
      <w:r>
        <w:t>《黄帝内经素问</w:t>
      </w:r>
      <w:r>
        <w:rPr>
          <w:rFonts w:hint="eastAsia"/>
        </w:rPr>
        <w:t>·</w:t>
      </w:r>
      <w:r>
        <w:t>灵兰秘典论</w:t>
      </w:r>
      <w:r>
        <w:rPr>
          <w:rFonts w:hint="eastAsia"/>
        </w:rPr>
        <w:t>》指出</w:t>
      </w:r>
      <w:r>
        <w:t>脾胃</w:t>
      </w:r>
      <w:r>
        <w:rPr>
          <w:rFonts w:hint="eastAsia"/>
        </w:rPr>
        <w:t>为“</w:t>
      </w:r>
      <w:r>
        <w:t>仓廪之官，五味出焉</w:t>
      </w:r>
      <w:r>
        <w:rPr>
          <w:rFonts w:hint="eastAsia"/>
        </w:rPr>
        <w:t>”。《伤寒论》继承了《黄帝内经》中阳明病需“治以辛温，佐以苦甘，以苦泄之，以苦下之”的治疗原则，发展出脾胃病“辛开苦降”的治疗大法并创立了以半夏泻心汤为代表的辛开苦降系列方药。金元时期，李东垣认为脾胃之气充盛是元气充盈的前提，强调“脾主升”的重要意义，认为脾气不升是多种疾病的主要病机，并创立升阳十七方</w:t>
      </w:r>
      <w:r>
        <w:rPr>
          <w:rFonts w:hint="eastAsia"/>
          <w:vertAlign w:val="superscript"/>
        </w:rPr>
        <w:t>[</w:t>
      </w:r>
      <w:r>
        <w:rPr>
          <w:vertAlign w:val="superscript"/>
        </w:rPr>
        <w:t>1-2]</w:t>
      </w:r>
      <w:r>
        <w:rPr>
          <w:rFonts w:hint="eastAsia"/>
        </w:rPr>
        <w:t>。清代叶天士在“</w:t>
      </w:r>
      <w:r>
        <w:t>取法乎东垣</w:t>
      </w:r>
      <w:r>
        <w:rPr>
          <w:rFonts w:hint="eastAsia"/>
        </w:rPr>
        <w:t>”的基础上提出“脾胃分治”</w:t>
      </w:r>
      <w:r>
        <w:rPr>
          <w:rFonts w:hint="eastAsia"/>
          <w:vertAlign w:val="superscript"/>
        </w:rPr>
        <w:t>[</w:t>
      </w:r>
      <w:r>
        <w:rPr>
          <w:vertAlign w:val="superscript"/>
        </w:rPr>
        <w:t>3-4]</w:t>
      </w:r>
      <w:r>
        <w:rPr>
          <w:rFonts w:hint="eastAsia"/>
        </w:rPr>
        <w:t>，曰：“纳食主胃，运化主脾，脾宜升则健，胃宜降为和”的观点，明确了脾胃为“上下升降之枢纽”的地位，</w:t>
      </w:r>
      <w:r>
        <w:t>临床</w:t>
      </w:r>
      <w:r>
        <w:rPr>
          <w:rFonts w:hint="eastAsia"/>
        </w:rPr>
        <w:t>中采用多种通调胃腑的治法治疗脾胃疾病</w:t>
      </w:r>
      <w:r>
        <w:rPr>
          <w:rFonts w:hint="eastAsia"/>
          <w:vertAlign w:val="superscript"/>
        </w:rPr>
        <w:t>[</w:t>
      </w:r>
      <w:r>
        <w:rPr>
          <w:vertAlign w:val="superscript"/>
        </w:rPr>
        <w:t>5]</w:t>
      </w:r>
      <w:r>
        <w:rPr>
          <w:rFonts w:hint="eastAsia"/>
        </w:rPr>
        <w:t>。至此，脾胃一升一降为中焦气机枢纽的理论逐渐明晰。</w:t>
      </w:r>
    </w:p>
    <w:p>
      <w:pPr>
        <w:spacing w:before="156" w:after="156"/>
        <w:ind w:firstLine="424" w:firstLineChars="202"/>
      </w:pPr>
      <w:r>
        <w:rPr>
          <w:rFonts w:hint="eastAsia"/>
        </w:rPr>
        <w:t>脾胃为后天之本，气血化生之源。胃为水谷之海。《灵枢·营卫生会》曰“中焦亦并胃中……此所受气者，泌糟粕，蒸津液，化其精微，上注于肺脉，乃化而为血，以奉生身。”可见水谷为气血精液化生之源，唯有脾胃功能健运，水谷化生有常，人体气血精液方能充沛。</w:t>
      </w:r>
    </w:p>
    <w:p>
      <w:pPr>
        <w:spacing w:before="156" w:after="156"/>
        <w:ind w:firstLine="420" w:firstLineChars="200"/>
      </w:pPr>
      <w:r>
        <w:rPr>
          <w:rFonts w:hint="eastAsia"/>
        </w:rPr>
        <w:t>当代国医大师路志正教授继承《黄帝内经•太阴阳明论》中“脾者土也，治中央，常以四时长四脏”的观点，总结出“持中央，运四旁，怡情志，调升降，顾润燥，纳化常”的学术思想核心。</w:t>
      </w:r>
      <w:r>
        <w:rPr>
          <w:rFonts w:hint="eastAsia"/>
          <w:vertAlign w:val="superscript"/>
        </w:rPr>
        <w:t>[6]</w:t>
      </w:r>
      <w:r>
        <w:rPr>
          <w:rFonts w:hint="eastAsia"/>
        </w:rPr>
        <w:t xml:space="preserve"> “调枢通降理论”以传统脾胃学说为本，继承国医大师之精髓，立于调理脾胃气机之枢、通调脾胃运化功能，重视“中央”即中焦调畅通常，恢复脾胃升降正常枢转，以达到“脾胃健运，纳化有常，水湿不生，百骸通调”的目的。</w:t>
      </w:r>
    </w:p>
    <w:p>
      <w:pPr>
        <w:spacing w:before="156" w:after="156"/>
        <w:ind w:firstLine="420" w:firstLineChars="200"/>
      </w:pPr>
    </w:p>
    <w:p>
      <w:pPr>
        <w:spacing w:before="156" w:after="156"/>
        <w:rPr>
          <w:rFonts w:ascii="楷体" w:hAnsi="楷体" w:eastAsia="楷体"/>
        </w:rPr>
      </w:pPr>
      <w:r>
        <w:rPr>
          <w:rFonts w:hint="eastAsia" w:ascii="楷体" w:hAnsi="楷体" w:eastAsia="楷体"/>
        </w:rPr>
        <w:t>1.2现代医学理论——“脑-肠-微生态轴”</w:t>
      </w:r>
    </w:p>
    <w:p>
      <w:pPr>
        <w:spacing w:before="156" w:after="156"/>
        <w:ind w:firstLine="424" w:firstLineChars="202"/>
        <w:rPr>
          <w:rFonts w:asciiTheme="minorEastAsia" w:hAnsiTheme="minorEastAsia"/>
        </w:rPr>
      </w:pPr>
      <w:r>
        <w:rPr>
          <w:rFonts w:hint="eastAsia" w:ascii="Calibri" w:hAnsi="Calibri" w:eastAsia="宋体"/>
        </w:rPr>
        <w:t>大</w:t>
      </w:r>
      <w:r>
        <w:rPr>
          <w:rFonts w:hint="eastAsia" w:ascii="Calibri" w:hAnsi="Calibri"/>
        </w:rPr>
        <w:t>脑主宰人体各种生理、病理信息的输入、编码、储存、提取、输出，是机体的信息贮存和加工中枢；肠道菌群又称人体的“腹脑”</w:t>
      </w:r>
      <w:r>
        <w:rPr>
          <w:rFonts w:hint="eastAsia" w:ascii="Calibri" w:hAnsi="Calibri" w:eastAsia="宋体"/>
          <w:vertAlign w:val="superscript"/>
        </w:rPr>
        <w:t>[7]</w:t>
      </w:r>
      <w:r>
        <w:rPr>
          <w:rFonts w:hint="eastAsia" w:ascii="Calibri" w:hAnsi="Calibri"/>
        </w:rPr>
        <w:t>，</w:t>
      </w:r>
      <w:r>
        <w:rPr>
          <w:rFonts w:hint="eastAsia" w:ascii="Calibri" w:hAnsi="Calibri" w:eastAsia="宋体"/>
        </w:rPr>
        <w:t>参与维持机体的生理功能</w:t>
      </w:r>
      <w:r>
        <w:rPr>
          <w:rFonts w:hint="eastAsia" w:asciiTheme="minorEastAsia" w:hAnsiTheme="minorEastAsia"/>
        </w:rPr>
        <w:t>，</w:t>
      </w:r>
      <w:r>
        <w:rPr>
          <w:rFonts w:hint="eastAsia" w:ascii="Calibri" w:hAnsi="Calibri" w:eastAsia="宋体"/>
        </w:rPr>
        <w:t>与疾病的发生发展密切相关</w:t>
      </w:r>
      <w:r>
        <w:rPr>
          <w:rFonts w:hint="eastAsia" w:asciiTheme="minorEastAsia" w:hAnsiTheme="minorEastAsia"/>
        </w:rPr>
        <w:t>，是</w:t>
      </w:r>
      <w:r>
        <w:rPr>
          <w:rFonts w:hint="eastAsia" w:ascii="Calibri" w:hAnsi="Calibri" w:eastAsia="宋体"/>
        </w:rPr>
        <w:t>大脑和胃肠道功能相互调节的重要桥梁</w:t>
      </w:r>
      <w:r>
        <w:rPr>
          <w:rFonts w:hint="eastAsia" w:asciiTheme="minorEastAsia" w:hAnsiTheme="minorEastAsia"/>
        </w:rPr>
        <w:t>，</w:t>
      </w:r>
      <w:r>
        <w:rPr>
          <w:rFonts w:hint="eastAsia" w:ascii="Calibri" w:hAnsi="Calibri" w:eastAsia="宋体"/>
        </w:rPr>
        <w:t>是机体</w:t>
      </w:r>
      <w:r>
        <w:rPr>
          <w:rFonts w:hint="eastAsia" w:ascii="Calibri" w:hAnsi="Calibri"/>
        </w:rPr>
        <w:t>各种生理、病理</w:t>
      </w:r>
      <w:r>
        <w:rPr>
          <w:rFonts w:hint="eastAsia" w:ascii="Calibri" w:hAnsi="Calibri" w:eastAsia="宋体"/>
        </w:rPr>
        <w:t>产生和传递信息的</w:t>
      </w:r>
      <w:r>
        <w:rPr>
          <w:rFonts w:hint="eastAsia" w:asciiTheme="minorEastAsia" w:hAnsiTheme="minorEastAsia"/>
        </w:rPr>
        <w:t>枢纽。</w:t>
      </w:r>
    </w:p>
    <w:p>
      <w:pPr>
        <w:spacing w:before="156" w:after="156"/>
        <w:ind w:firstLine="424" w:firstLineChars="202"/>
        <w:rPr>
          <w:rFonts w:ascii="Calibri" w:hAnsi="Calibri"/>
        </w:rPr>
      </w:pPr>
      <w:r>
        <w:rPr>
          <w:rFonts w:hint="eastAsia" w:ascii="Calibri" w:hAnsi="Calibri" w:eastAsia="宋体"/>
        </w:rPr>
        <w:t>脑肠互动（脑肠轴）紊乱是</w:t>
      </w:r>
      <w:r>
        <w:rPr>
          <w:rFonts w:hint="eastAsia" w:asciiTheme="minorEastAsia" w:hAnsiTheme="minorEastAsia"/>
        </w:rPr>
        <w:t>胃肠、</w:t>
      </w:r>
      <w:r>
        <w:rPr>
          <w:rFonts w:hint="eastAsia" w:ascii="Calibri" w:hAnsi="Calibri" w:eastAsia="宋体"/>
        </w:rPr>
        <w:t>精神心理等多系统疾病的主要发病机制</w:t>
      </w:r>
      <w:r>
        <w:rPr>
          <w:rFonts w:hint="eastAsia" w:asciiTheme="minorEastAsia" w:hAnsiTheme="minorEastAsia"/>
        </w:rPr>
        <w:t>，</w:t>
      </w:r>
      <w:r>
        <w:rPr>
          <w:rFonts w:hint="eastAsia" w:ascii="Calibri" w:hAnsi="Calibri" w:eastAsia="宋体"/>
        </w:rPr>
        <w:t>其通过影响胃肠黏膜免疫功能、神经信号传导（内脏高敏感）、中枢神经系统调控以及肠道微生态等因素导致</w:t>
      </w:r>
      <w:r>
        <w:rPr>
          <w:rFonts w:hint="eastAsia" w:asciiTheme="minorEastAsia" w:hAnsiTheme="minorEastAsia"/>
        </w:rPr>
        <w:t>临床</w:t>
      </w:r>
      <w:r>
        <w:rPr>
          <w:rFonts w:hint="eastAsia" w:ascii="Calibri" w:hAnsi="Calibri" w:eastAsia="宋体"/>
        </w:rPr>
        <w:t>症状的产生</w:t>
      </w:r>
      <w:r>
        <w:rPr>
          <w:rFonts w:ascii="Calibri" w:hAnsi="Calibri" w:eastAsia="宋体"/>
        </w:rPr>
        <w:fldChar w:fldCharType="begin"/>
      </w:r>
      <w:r>
        <w:rPr>
          <w:rFonts w:ascii="Calibri" w:hAnsi="Calibri" w:eastAsia="宋体"/>
        </w:rPr>
        <w:instrText xml:space="preserve"> ADDIN ZOTERO_ITEM {"citationID":"qB5wn4N3","properties":{"formattedCitation":"{\\rtf \\super [3]\\nosupersub{}}","plainCitation":"[3]"},"citationItems":[{"id":20,"uris":["http://zotero.org/users/local/T70A7LAg/items/T5DHRK25"],"uri":["http://zotero.org/users/local/T70A7LAg/items/T5DHRK25"]}]} </w:instrText>
      </w:r>
      <w:r>
        <w:rPr>
          <w:rFonts w:ascii="Calibri" w:hAnsi="Calibri" w:eastAsia="宋体"/>
        </w:rPr>
        <w:fldChar w:fldCharType="separate"/>
      </w:r>
      <w:r>
        <w:rPr>
          <w:vertAlign w:val="superscript"/>
        </w:rPr>
        <w:t>[</w:t>
      </w:r>
      <w:r>
        <w:rPr>
          <w:rFonts w:hint="eastAsia" w:ascii="Calibri" w:hAnsi="Calibri" w:cs="Times New Roman"/>
          <w:kern w:val="0"/>
          <w:vertAlign w:val="superscript"/>
        </w:rPr>
        <w:t>8</w:t>
      </w:r>
      <w:r>
        <w:rPr>
          <w:rFonts w:ascii="Calibri" w:hAnsi="Calibri" w:eastAsia="Times New Roman" w:cs="Times New Roman"/>
          <w:kern w:val="0"/>
          <w:vertAlign w:val="superscript"/>
        </w:rPr>
        <w:t>]</w:t>
      </w:r>
      <w:r>
        <w:rPr>
          <w:rFonts w:ascii="Calibri" w:hAnsi="Calibri" w:eastAsia="宋体"/>
        </w:rPr>
        <w:fldChar w:fldCharType="end"/>
      </w:r>
      <w:r>
        <w:rPr>
          <w:rFonts w:hint="eastAsia" w:ascii="宋体" w:hAnsi="宋体" w:eastAsia="宋体" w:cs="宋体"/>
        </w:rPr>
        <w:t>。</w:t>
      </w:r>
      <w:r>
        <w:rPr>
          <w:rFonts w:ascii="Calibri" w:hAnsi="Calibri" w:eastAsia="宋体"/>
        </w:rPr>
        <w:t>脑肠轴是指中枢神经系统统（central nervous system, CNS）与胃肠道的肠神经系统（enteric nervous system, ENS）和自主神经系统（autonomic nervous system, ANS）之间形成的双向神经</w:t>
      </w:r>
      <w:r>
        <w:rPr>
          <w:rFonts w:hint="eastAsia" w:asciiTheme="minorEastAsia" w:hAnsiTheme="minorEastAsia"/>
        </w:rPr>
        <w:t>——</w:t>
      </w:r>
      <w:r>
        <w:rPr>
          <w:rFonts w:ascii="Calibri" w:hAnsi="Calibri" w:eastAsia="宋体"/>
        </w:rPr>
        <w:t>内分泌网络。一方面胃肠道传入神经纤维通过脑肠轴投射到CNS的躯体、情感和认知中枢，对各种胃肠道刺激信号产生反应；另一方面，CNS还能够抑制或者激动各种传入信号，调节机体的内脏活动功能</w:t>
      </w:r>
      <w:r>
        <w:rPr>
          <w:rFonts w:ascii="Calibri" w:hAnsi="Calibri" w:eastAsia="宋体"/>
        </w:rPr>
        <w:fldChar w:fldCharType="begin"/>
      </w:r>
      <w:r>
        <w:rPr>
          <w:rFonts w:ascii="Calibri" w:hAnsi="Calibri" w:eastAsia="宋体"/>
        </w:rPr>
        <w:instrText xml:space="preserve"> ADDIN ZOTERO_ITEM {"citationID":"37fkxY1R","properties":{"formattedCitation":"{\\rtf \\super [32]\\nosupersub{}}","plainCitation":"[32]"},"citationItems":[{"id":43,"uris":["http://zotero.org/users/local/T70A7LAg/items/3IWXZS6S"],"uri":["http://zotero.org/users/local/T70A7LAg/items/3IWXZS6S"]}]} </w:instrText>
      </w:r>
      <w:r>
        <w:rPr>
          <w:rFonts w:ascii="Calibri" w:hAnsi="Calibri" w:eastAsia="宋体"/>
        </w:rPr>
        <w:fldChar w:fldCharType="separate"/>
      </w:r>
      <w:r>
        <w:rPr>
          <w:vertAlign w:val="superscript"/>
        </w:rPr>
        <w:t>[</w:t>
      </w:r>
      <w:r>
        <w:rPr>
          <w:rFonts w:hint="eastAsia"/>
          <w:vertAlign w:val="superscript"/>
        </w:rPr>
        <w:t>9</w:t>
      </w:r>
      <w:r>
        <w:rPr>
          <w:rFonts w:ascii="Calibri" w:hAnsi="Calibri" w:eastAsia="Times New Roman" w:cs="Times New Roman"/>
          <w:kern w:val="0"/>
          <w:vertAlign w:val="superscript"/>
        </w:rPr>
        <w:t>]</w:t>
      </w:r>
      <w:r>
        <w:rPr>
          <w:rFonts w:ascii="Calibri" w:hAnsi="Calibri" w:eastAsia="宋体"/>
        </w:rPr>
        <w:fldChar w:fldCharType="end"/>
      </w:r>
    </w:p>
    <w:p>
      <w:pPr>
        <w:spacing w:before="156" w:after="156"/>
        <w:ind w:firstLine="424" w:firstLineChars="202"/>
        <w:rPr>
          <w:rFonts w:ascii="Calibri" w:hAnsi="Calibri"/>
        </w:rPr>
      </w:pPr>
      <w:r>
        <w:rPr>
          <w:rFonts w:hint="eastAsia" w:ascii="Calibri" w:hAnsi="Calibri" w:eastAsia="宋体"/>
        </w:rPr>
        <w:t>微生态同样参与</w:t>
      </w:r>
      <w:r>
        <w:rPr>
          <w:rFonts w:hint="eastAsia" w:asciiTheme="minorEastAsia" w:hAnsiTheme="minorEastAsia"/>
        </w:rPr>
        <w:t>疾病</w:t>
      </w:r>
      <w:r>
        <w:rPr>
          <w:rFonts w:hint="eastAsia" w:ascii="Calibri" w:hAnsi="Calibri" w:eastAsia="宋体"/>
        </w:rPr>
        <w:t>的发病过程</w:t>
      </w:r>
      <w:r>
        <w:rPr>
          <w:rFonts w:hint="eastAsia"/>
          <w:vertAlign w:val="superscript"/>
        </w:rPr>
        <w:t>[10-11]</w:t>
      </w:r>
      <w:r>
        <w:rPr>
          <w:rFonts w:hint="eastAsia" w:ascii="Calibri" w:hAnsi="Calibri" w:eastAsia="宋体"/>
        </w:rPr>
        <w:t>。一方面，肠道菌群可通过激活肠道黏膜固有免疫应答，进而影响肠道黏膜屏障，引致黏膜通透性的改变，造成菌群位移，并进一步激活肥大细胞、巨噬细胞、嗜酸细胞等免疫细胞，释放如TNF-α、IL-1β、IL-6等炎症因子，作用于迷走神经感受传入通路，引起ENS的异常调节，甚至进一步影响CNS功能，从而引致疾病发生；另一方面，CNS亦可通过改变肠道内环境而间接影响肠道菌群，或通过免疫神经网络、神经信号分子而对肠道菌群产生直接的影响。</w:t>
      </w:r>
      <w:r>
        <w:rPr>
          <w:rFonts w:hint="eastAsia" w:ascii="宋体" w:hAnsi="宋体" w:eastAsia="宋体" w:cs="宋体"/>
        </w:rPr>
        <w:t>而脑</w:t>
      </w:r>
      <w:r>
        <w:rPr>
          <w:rFonts w:hint="eastAsia" w:ascii="Calibri" w:hAnsi="Calibri" w:eastAsia="宋体"/>
        </w:rPr>
        <w:t>-</w:t>
      </w:r>
      <w:r>
        <w:rPr>
          <w:rFonts w:hint="eastAsia" w:ascii="宋体" w:hAnsi="宋体" w:eastAsia="宋体" w:cs="宋体"/>
        </w:rPr>
        <w:t>肠</w:t>
      </w:r>
      <w:r>
        <w:rPr>
          <w:rFonts w:hint="eastAsia" w:ascii="Calibri" w:hAnsi="Calibri" w:eastAsia="宋体"/>
        </w:rPr>
        <w:t>-</w:t>
      </w:r>
      <w:r>
        <w:rPr>
          <w:rFonts w:hint="eastAsia" w:ascii="宋体" w:hAnsi="宋体" w:eastAsia="宋体" w:cs="宋体"/>
        </w:rPr>
        <w:t>微生态轴（</w:t>
      </w:r>
      <w:r>
        <w:rPr>
          <w:rFonts w:hint="eastAsia" w:ascii="Calibri" w:hAnsi="Calibri" w:eastAsia="宋体"/>
        </w:rPr>
        <w:t>brain-gut-microbiota axis</w:t>
      </w:r>
      <w:r>
        <w:rPr>
          <w:rFonts w:hint="eastAsia" w:ascii="宋体" w:hAnsi="宋体" w:eastAsia="宋体" w:cs="宋体"/>
        </w:rPr>
        <w:t>）也逐渐成为</w:t>
      </w:r>
      <w:r>
        <w:rPr>
          <w:rFonts w:hint="eastAsia" w:asciiTheme="minorEastAsia" w:hAnsiTheme="minorEastAsia"/>
        </w:rPr>
        <w:t>现代</w:t>
      </w:r>
      <w:r>
        <w:rPr>
          <w:rFonts w:hint="eastAsia" w:ascii="宋体" w:hAnsi="宋体" w:eastAsia="宋体" w:cs="宋体"/>
        </w:rPr>
        <w:t>医学领域中的研究热点</w:t>
      </w:r>
      <w:r>
        <w:rPr>
          <w:rFonts w:hint="eastAsia" w:ascii="Calibri" w:hAnsi="Calibri" w:eastAsia="宋体"/>
          <w:vertAlign w:val="superscript"/>
        </w:rPr>
        <w:t>[</w:t>
      </w:r>
      <w:r>
        <w:rPr>
          <w:rFonts w:hint="eastAsia" w:ascii="Calibri" w:hAnsi="Calibri"/>
          <w:vertAlign w:val="superscript"/>
        </w:rPr>
        <w:t>12</w:t>
      </w:r>
      <w:r>
        <w:rPr>
          <w:rFonts w:hint="eastAsia" w:ascii="Calibri" w:hAnsi="Calibri" w:eastAsia="宋体"/>
          <w:vertAlign w:val="superscript"/>
        </w:rPr>
        <w:t>]</w:t>
      </w:r>
      <w:r>
        <w:rPr>
          <w:rFonts w:hint="eastAsia" w:ascii="宋体" w:hAnsi="宋体" w:eastAsia="宋体" w:cs="宋体"/>
        </w:rPr>
        <w:t>。</w:t>
      </w:r>
    </w:p>
    <w:p>
      <w:pPr>
        <w:spacing w:before="156" w:after="156"/>
        <w:ind w:firstLine="424" w:firstLineChars="202"/>
      </w:pPr>
      <w:r>
        <w:rPr>
          <w:rFonts w:hint="eastAsia" w:asciiTheme="minorEastAsia" w:hAnsiTheme="minorEastAsia"/>
        </w:rPr>
        <w:t>我们在继承传统脾胃学说基础上，采用辛开苦降、温肾健脾等中医内治、外治法，多层次、多维度对消化系统疾病，如：胃食管反流病、功能性消化不良、慢性萎缩性胃炎、肠易激综合征、功能性便秘等疾病进行干预，临床疗效满意</w:t>
      </w:r>
      <w:r>
        <w:rPr>
          <w:rFonts w:hint="eastAsia" w:ascii="Calibri" w:hAnsi="Calibri" w:eastAsia="宋体"/>
          <w:vertAlign w:val="superscript"/>
        </w:rPr>
        <w:t>[13-17]</w:t>
      </w:r>
      <w:r>
        <w:rPr>
          <w:rFonts w:hint="eastAsia"/>
        </w:rPr>
        <w:t>。但是，随着现代社会的飞速发展，医学模式已经从单一的生物医学模式演变为生物-心理-社会医学模式，疾病的病因、机理和临床表现呈多样性和复杂性，固有理论囿于其自身局限性，无法充分有效地满足临床需求。因此，站在新时代的前沿，根据目前学科发展的趋势，结合当前疾病特点与</w:t>
      </w:r>
      <w:r>
        <w:t>现代科学技术</w:t>
      </w:r>
      <w:r>
        <w:rPr>
          <w:rFonts w:hint="eastAsia"/>
        </w:rPr>
        <w:t>，在总结临床经验的基础上，我们开创性地提出“调枢通胃”理论，以期更好地指导临床工作。</w:t>
      </w:r>
    </w:p>
    <w:p>
      <w:pPr>
        <w:spacing w:before="156" w:after="156"/>
        <w:rPr>
          <w:rFonts w:ascii="黑体" w:hAnsi="黑体" w:eastAsia="黑体"/>
          <w:b/>
        </w:rPr>
      </w:pPr>
      <w:r>
        <w:rPr>
          <w:rFonts w:hint="eastAsia" w:ascii="黑体" w:hAnsi="黑体" w:eastAsia="黑体"/>
          <w:b/>
        </w:rPr>
        <w:t>2.“调枢通胃”内涵与外延</w:t>
      </w:r>
    </w:p>
    <w:p>
      <w:pPr>
        <w:spacing w:before="156" w:after="156"/>
        <w:rPr>
          <w:rFonts w:ascii="楷体" w:hAnsi="楷体" w:eastAsia="楷体"/>
        </w:rPr>
      </w:pPr>
      <w:r>
        <w:rPr>
          <w:rFonts w:hint="eastAsia" w:ascii="楷体" w:hAnsi="楷体" w:eastAsia="楷体"/>
        </w:rPr>
        <w:t>2.1“调、枢、通、胃”释义</w:t>
      </w:r>
    </w:p>
    <w:p>
      <w:pPr>
        <w:spacing w:before="156" w:after="156"/>
        <w:ind w:firstLine="424" w:firstLineChars="202"/>
      </w:pPr>
      <w:r>
        <w:rPr>
          <w:rFonts w:hint="eastAsia"/>
        </w:rPr>
        <w:t>“调、枢、通、胃”的每个字都有其丰富内涵。《康熙字典》注释“通”为：“……达也。……彻也。……又亨也，顺也”，是“通达、顺畅”之意。枢，注释为：“……本也。……户枢也。……枢谓之椳。又制动之主曰枢机”，本意指“户枢”，即门户转动的枢机，引申义为事物的关键</w:t>
      </w:r>
      <w:r>
        <w:rPr>
          <w:rFonts w:hint="eastAsia" w:ascii="Calibri" w:hAnsi="Calibri" w:eastAsia="宋体"/>
          <w:vertAlign w:val="superscript"/>
        </w:rPr>
        <w:t>[</w:t>
      </w:r>
      <w:r>
        <w:rPr>
          <w:rFonts w:hint="eastAsia" w:ascii="Calibri" w:hAnsi="Calibri"/>
          <w:vertAlign w:val="superscript"/>
        </w:rPr>
        <w:t>18</w:t>
      </w:r>
      <w:r>
        <w:rPr>
          <w:rFonts w:ascii="Calibri" w:hAnsi="Calibri" w:eastAsia="宋体"/>
          <w:vertAlign w:val="superscript"/>
        </w:rPr>
        <w:t>]</w:t>
      </w:r>
      <w:r>
        <w:rPr>
          <w:rFonts w:hint="eastAsia"/>
        </w:rPr>
        <w:t>。调，注释为：“……和也。……和合也”，表示“和合”的和谐状态。胃，注释为：“……脾之府，谷之委，故脾禀气于胃。……肠胃。……围也，围受食物也。……胃为天仓”，本意指消化道中的胃腑，是食物在人体内的“仓库”。</w:t>
      </w:r>
    </w:p>
    <w:p>
      <w:pPr>
        <w:spacing w:before="156" w:after="156"/>
        <w:rPr>
          <w:rFonts w:ascii="楷体" w:hAnsi="楷体" w:eastAsia="楷体"/>
        </w:rPr>
      </w:pPr>
      <w:r>
        <w:rPr>
          <w:rFonts w:hint="eastAsia" w:ascii="楷体" w:hAnsi="楷体" w:eastAsia="楷体"/>
        </w:rPr>
        <w:t>2.2“调枢”的内涵与外延</w:t>
      </w:r>
    </w:p>
    <w:p>
      <w:pPr>
        <w:spacing w:before="156" w:after="156"/>
        <w:ind w:firstLine="424" w:firstLineChars="202"/>
      </w:pPr>
      <w:r>
        <w:rPr>
          <w:rFonts w:hint="eastAsia"/>
        </w:rPr>
        <w:t>“枢”，本意是门上的转轴，引申出“重要”“关键”的意思。“调枢”可以看做是调控疾病及其病理变化过程的关键环节，被赋予“位置”和“功能”的新内涵。</w:t>
      </w:r>
    </w:p>
    <w:p>
      <w:pPr>
        <w:spacing w:before="156" w:after="156"/>
        <w:rPr>
          <w:rFonts w:ascii="楷体" w:hAnsi="楷体" w:eastAsia="楷体"/>
        </w:rPr>
      </w:pPr>
      <w:r>
        <w:rPr>
          <w:rFonts w:hint="eastAsia" w:ascii="楷体" w:hAnsi="楷体" w:eastAsia="楷体"/>
        </w:rPr>
        <w:t>2</w:t>
      </w:r>
      <w:r>
        <w:rPr>
          <w:rFonts w:ascii="楷体" w:hAnsi="楷体" w:eastAsia="楷体"/>
        </w:rPr>
        <w:t>.</w:t>
      </w:r>
      <w:r>
        <w:rPr>
          <w:rFonts w:hint="eastAsia" w:ascii="楷体" w:hAnsi="楷体" w:eastAsia="楷体"/>
        </w:rPr>
        <w:t>2</w:t>
      </w:r>
      <w:r>
        <w:rPr>
          <w:rFonts w:ascii="楷体" w:hAnsi="楷体" w:eastAsia="楷体"/>
        </w:rPr>
        <w:t>.</w:t>
      </w:r>
      <w:r>
        <w:rPr>
          <w:rFonts w:hint="eastAsia" w:ascii="楷体" w:hAnsi="楷体" w:eastAsia="楷体"/>
        </w:rPr>
        <w:t>1</w:t>
      </w:r>
      <w:r>
        <w:rPr>
          <w:rFonts w:ascii="楷体" w:hAnsi="楷体" w:eastAsia="楷体"/>
        </w:rPr>
        <w:t>脾胃</w:t>
      </w:r>
      <w:r>
        <w:rPr>
          <w:rFonts w:hint="eastAsia" w:ascii="楷体" w:hAnsi="楷体" w:eastAsia="楷体"/>
        </w:rPr>
        <w:t>——</w:t>
      </w:r>
      <w:r>
        <w:rPr>
          <w:rFonts w:ascii="楷体" w:hAnsi="楷体" w:eastAsia="楷体"/>
        </w:rPr>
        <w:t>脏腑</w:t>
      </w:r>
      <w:r>
        <w:rPr>
          <w:rFonts w:hint="eastAsia" w:ascii="楷体" w:hAnsi="楷体" w:eastAsia="楷体"/>
        </w:rPr>
        <w:t>之枢</w:t>
      </w:r>
    </w:p>
    <w:p>
      <w:pPr>
        <w:spacing w:before="156" w:after="156"/>
        <w:ind w:firstLine="424" w:firstLineChars="202"/>
      </w:pPr>
      <w:r>
        <w:rPr>
          <w:rFonts w:hint="eastAsia"/>
        </w:rPr>
        <w:t>从生理的角度上，脾与胃同居中焦，共同发挥受纳腐熟水谷、运化水谷精微的作用，被称为“后天之本”。《素问》中“脾气散精，上归于肺”的描述，是最早对脾“升散”的功能的描述。</w:t>
      </w:r>
      <w:r>
        <w:t>《素问·逆调论篇》</w:t>
      </w:r>
      <w:r>
        <w:rPr>
          <w:rFonts w:hint="eastAsia"/>
        </w:rPr>
        <w:t>对胃气沉降也有论述，曰：“</w:t>
      </w:r>
      <w:r>
        <w:t>胃者六府之海</w:t>
      </w:r>
      <w:r>
        <w:rPr>
          <w:rFonts w:hint="eastAsia"/>
        </w:rPr>
        <w:t>，</w:t>
      </w:r>
      <w:r>
        <w:t>其气亦下行</w:t>
      </w:r>
      <w:r>
        <w:rPr>
          <w:rFonts w:hint="eastAsia"/>
        </w:rPr>
        <w:t>”。后世张仲景注重脾气升清的作用，清代张聿青等人提出“六腑以通为用”的观点，叶天士又总结为“脾宜升则健，胃宜降为和”。因此，脾胃生理上互为表里，气机一升一降，水谷精微之清轻者随脾气上升，布散五经，其浊重者随胃气下行，合一身代谢后浊阴从二阴排除体外，完成人体内的生理循环。</w:t>
      </w:r>
    </w:p>
    <w:p>
      <w:pPr>
        <w:spacing w:before="156" w:after="156"/>
        <w:ind w:firstLine="424" w:firstLineChars="202"/>
      </w:pPr>
      <w:r>
        <w:rPr>
          <w:rFonts w:hint="eastAsia"/>
        </w:rPr>
        <w:t>从病理的角度上，</w:t>
      </w:r>
      <w:r>
        <w:t>《素问</w:t>
      </w:r>
      <w:r>
        <w:rPr>
          <w:rFonts w:hint="eastAsia"/>
        </w:rPr>
        <w:t>·</w:t>
      </w:r>
      <w:r>
        <w:t>阴阳应象大论》</w:t>
      </w:r>
      <w:r>
        <w:rPr>
          <w:rFonts w:hint="eastAsia"/>
        </w:rPr>
        <w:t>记述了“</w:t>
      </w:r>
      <w:r>
        <w:t>清气在下，则生飧泄；浊气在上，则生</w:t>
      </w:r>
      <w:r>
        <w:rPr>
          <w:rFonts w:hint="eastAsia"/>
        </w:rPr>
        <w:t>䐜胀”</w:t>
      </w:r>
      <w:r>
        <w:t>。</w:t>
      </w:r>
      <w:r>
        <w:rPr>
          <w:rFonts w:hint="eastAsia"/>
        </w:rPr>
        <w:t>将气机升降的否泰与脾胃症状关联，从侧面反映了脾升胃降的生理特点</w:t>
      </w:r>
      <w:r>
        <w:rPr>
          <w:rFonts w:hint="eastAsia" w:ascii="Calibri" w:hAnsi="Calibri" w:eastAsia="宋体"/>
          <w:vertAlign w:val="superscript"/>
        </w:rPr>
        <w:t>[</w:t>
      </w:r>
      <w:r>
        <w:rPr>
          <w:rFonts w:hint="eastAsia" w:asciiTheme="minorEastAsia" w:hAnsiTheme="minorEastAsia"/>
          <w:vertAlign w:val="superscript"/>
        </w:rPr>
        <w:t>19</w:t>
      </w:r>
      <w:r>
        <w:rPr>
          <w:rFonts w:ascii="Calibri" w:hAnsi="Calibri" w:eastAsia="宋体"/>
          <w:vertAlign w:val="superscript"/>
        </w:rPr>
        <w:t>]</w:t>
      </w:r>
      <w:r>
        <w:rPr>
          <w:rFonts w:hint="eastAsia"/>
        </w:rPr>
        <w:t>。由此可见，作为脏腑之枢，脾升胃降的功能维持是维持一身气机升降正常运转的枢纽，是水谷精微化生的重要保障，也是精微物质布散全身、濡润心肺肝肾等的重要基础，是维持</w:t>
      </w:r>
      <w:r>
        <w:t>人体内的能量动态</w:t>
      </w:r>
      <w:r>
        <w:rPr>
          <w:rFonts w:hint="eastAsia"/>
        </w:rPr>
        <w:t>平衡的</w:t>
      </w:r>
      <w:r>
        <w:t>核心</w:t>
      </w:r>
      <w:r>
        <w:rPr>
          <w:rFonts w:hint="eastAsia" w:ascii="Calibri" w:hAnsi="Calibri" w:eastAsia="宋体"/>
          <w:vertAlign w:val="superscript"/>
        </w:rPr>
        <w:t>[</w:t>
      </w:r>
      <w:r>
        <w:rPr>
          <w:rFonts w:hint="eastAsia" w:ascii="Calibri" w:hAnsi="Calibri"/>
          <w:vertAlign w:val="superscript"/>
        </w:rPr>
        <w:t>20</w:t>
      </w:r>
      <w:r>
        <w:rPr>
          <w:rFonts w:ascii="Calibri" w:hAnsi="Calibri" w:eastAsia="宋体"/>
          <w:vertAlign w:val="superscript"/>
        </w:rPr>
        <w:t>]</w:t>
      </w:r>
      <w:r>
        <w:rPr>
          <w:rFonts w:hint="eastAsia"/>
        </w:rPr>
        <w:t>。其功能失常除可导致如胃痞、胃痛等脾胃系疾病外，还可导致如“</w:t>
      </w:r>
      <w:r>
        <w:t>脾咳</w:t>
      </w:r>
      <w:r>
        <w:rPr>
          <w:rFonts w:hint="eastAsia"/>
        </w:rPr>
        <w:t>”“</w:t>
      </w:r>
      <w:r>
        <w:t>胃咳</w:t>
      </w:r>
      <w:r>
        <w:rPr>
          <w:rFonts w:hint="eastAsia"/>
        </w:rPr>
        <w:t>”“卧不安”等他系疾病，临床中多有通过调节脾胃升降功能治疗各系统疾病的应用实例</w:t>
      </w:r>
      <w:r>
        <w:rPr>
          <w:rFonts w:hint="eastAsia" w:ascii="Calibri" w:hAnsi="Calibri" w:eastAsia="宋体"/>
          <w:vertAlign w:val="superscript"/>
        </w:rPr>
        <w:t>[</w:t>
      </w:r>
      <w:r>
        <w:rPr>
          <w:rFonts w:hint="eastAsia" w:ascii="Calibri" w:hAnsi="Calibri"/>
          <w:vertAlign w:val="superscript"/>
        </w:rPr>
        <w:t>21</w:t>
      </w:r>
      <w:r>
        <w:rPr>
          <w:rFonts w:ascii="Calibri" w:hAnsi="Calibri" w:eastAsia="宋体"/>
          <w:vertAlign w:val="superscript"/>
        </w:rPr>
        <w:t>-2</w:t>
      </w:r>
      <w:r>
        <w:rPr>
          <w:rFonts w:hint="eastAsia" w:ascii="Calibri" w:hAnsi="Calibri"/>
          <w:vertAlign w:val="superscript"/>
        </w:rPr>
        <w:t>5</w:t>
      </w:r>
      <w:r>
        <w:rPr>
          <w:rFonts w:ascii="Calibri" w:hAnsi="Calibri" w:eastAsia="宋体"/>
          <w:vertAlign w:val="superscript"/>
        </w:rPr>
        <w:t>]</w:t>
      </w:r>
      <w:r>
        <w:rPr>
          <w:rFonts w:hint="eastAsia"/>
        </w:rPr>
        <w:t>。</w:t>
      </w:r>
    </w:p>
    <w:p>
      <w:pPr>
        <w:spacing w:before="156" w:after="156"/>
        <w:rPr>
          <w:rFonts w:ascii="楷体" w:hAnsi="楷体" w:eastAsia="楷体"/>
        </w:rPr>
      </w:pPr>
      <w:r>
        <w:rPr>
          <w:rFonts w:hint="eastAsia" w:ascii="楷体" w:hAnsi="楷体" w:eastAsia="楷体"/>
        </w:rPr>
        <w:t>2</w:t>
      </w:r>
      <w:r>
        <w:rPr>
          <w:rFonts w:ascii="楷体" w:hAnsi="楷体" w:eastAsia="楷体"/>
        </w:rPr>
        <w:t>.</w:t>
      </w:r>
      <w:r>
        <w:rPr>
          <w:rFonts w:hint="eastAsia" w:ascii="楷体" w:hAnsi="楷体" w:eastAsia="楷体"/>
        </w:rPr>
        <w:t>2</w:t>
      </w:r>
      <w:r>
        <w:rPr>
          <w:rFonts w:ascii="楷体" w:hAnsi="楷体" w:eastAsia="楷体"/>
        </w:rPr>
        <w:t>.</w:t>
      </w:r>
      <w:r>
        <w:rPr>
          <w:rFonts w:hint="eastAsia" w:ascii="楷体" w:hAnsi="楷体" w:eastAsia="楷体"/>
        </w:rPr>
        <w:t>2</w:t>
      </w:r>
      <w:r>
        <w:rPr>
          <w:rFonts w:ascii="楷体" w:hAnsi="楷体" w:eastAsia="楷体"/>
        </w:rPr>
        <w:t>少阳</w:t>
      </w:r>
      <w:r>
        <w:rPr>
          <w:rFonts w:hint="eastAsia" w:ascii="楷体" w:hAnsi="楷体" w:eastAsia="楷体"/>
        </w:rPr>
        <w:t>——开合之枢</w:t>
      </w:r>
    </w:p>
    <w:p>
      <w:pPr>
        <w:spacing w:before="156" w:after="156"/>
        <w:ind w:firstLine="424" w:firstLineChars="202"/>
      </w:pPr>
      <w:r>
        <w:rPr>
          <w:rFonts w:hint="eastAsia"/>
        </w:rPr>
        <w:t>“开合枢”理论首见于《黄帝内经》。《灵枢·根结》：“</w:t>
      </w:r>
      <w:r>
        <w:t>太阳为开，阳明为阖，少阳为枢。</w:t>
      </w:r>
      <w:r>
        <w:rPr>
          <w:rFonts w:hint="eastAsia"/>
        </w:rPr>
        <w:t>”少阳统属胆与三焦。少阳枢机，从经络而言，少阳经脉介于表里之间，司主阳气出入，连接表里经气，是以为枢；从脏腑而言，胆主阳气生发，胆主枢以启动气机运转，三焦主持诸气、通调水道，三焦主枢以络通脏腑、气布水行，胆为气枢、三焦为水道，相火熏蒸，并统气火水，共为少阳枢机</w:t>
      </w:r>
      <w:r>
        <w:rPr>
          <w:rFonts w:hint="eastAsia"/>
          <w:vertAlign w:val="superscript"/>
        </w:rPr>
        <w:t>[26]</w:t>
      </w:r>
      <w:r>
        <w:rPr>
          <w:rFonts w:hint="eastAsia"/>
        </w:rPr>
        <w:t>。“枢”的概念由此引出。居中的少阳胆和少阳三焦通过转输气液发挥枢转太阳、阳明之阳气的功用</w:t>
      </w:r>
      <w:r>
        <w:rPr>
          <w:rFonts w:hint="eastAsia"/>
          <w:vertAlign w:val="superscript"/>
        </w:rPr>
        <w:t>[</w:t>
      </w:r>
      <w:r>
        <w:rPr>
          <w:vertAlign w:val="superscript"/>
        </w:rPr>
        <w:t>2</w:t>
      </w:r>
      <w:r>
        <w:rPr>
          <w:rFonts w:hint="eastAsia"/>
          <w:vertAlign w:val="superscript"/>
        </w:rPr>
        <w:t>7</w:t>
      </w:r>
      <w:r>
        <w:rPr>
          <w:vertAlign w:val="superscript"/>
        </w:rPr>
        <w:t>]</w:t>
      </w:r>
      <w:r>
        <w:rPr>
          <w:rFonts w:hint="eastAsia"/>
        </w:rPr>
        <w:t>。手足少阳皆入耳中，耳作为“宗脉之所聚”，又具“经脉之枢”之用，功能沟通表里、启枢阳气、联通经络、调节脏腑，在临床应用中具有代表性。</w:t>
      </w:r>
      <w:r>
        <w:t>枢机不利</w:t>
      </w:r>
      <w:r>
        <w:rPr>
          <w:rFonts w:hint="eastAsia"/>
        </w:rPr>
        <w:t>会</w:t>
      </w:r>
      <w:r>
        <w:t>导致</w:t>
      </w:r>
      <w:r>
        <w:rPr>
          <w:rFonts w:hint="eastAsia"/>
        </w:rPr>
        <w:t>人体</w:t>
      </w:r>
      <w:r>
        <w:t>气机升降失调</w:t>
      </w:r>
      <w:r>
        <w:rPr>
          <w:rFonts w:hint="eastAsia"/>
        </w:rPr>
        <w:t>，从而导致</w:t>
      </w:r>
      <w:r>
        <w:t>疾病发生</w:t>
      </w:r>
      <w:r>
        <w:rPr>
          <w:rFonts w:hint="eastAsia"/>
          <w:vertAlign w:val="superscript"/>
        </w:rPr>
        <w:t>[</w:t>
      </w:r>
      <w:r>
        <w:rPr>
          <w:vertAlign w:val="superscript"/>
        </w:rPr>
        <w:t>2</w:t>
      </w:r>
      <w:r>
        <w:rPr>
          <w:rFonts w:hint="eastAsia"/>
          <w:vertAlign w:val="superscript"/>
        </w:rPr>
        <w:t>8</w:t>
      </w:r>
      <w:r>
        <w:rPr>
          <w:vertAlign w:val="superscript"/>
        </w:rPr>
        <w:t>]</w:t>
      </w:r>
      <w:r>
        <w:t>。</w:t>
      </w:r>
      <w:r>
        <w:rPr>
          <w:rFonts w:hint="eastAsia"/>
        </w:rPr>
        <w:t>少阳之胆为“中正之官”，主决断，与情志密切相关。《脾胃论》指出：“</w:t>
      </w:r>
      <w:r>
        <w:t>甲胆，风也，温也，主生化周身之血气</w:t>
      </w:r>
      <w:r>
        <w:rPr>
          <w:rFonts w:hint="eastAsia"/>
        </w:rPr>
        <w:t>”，其气温行余脏余腑，对气机的枢转起推动作用，即所谓“凡十一藏取决于胆”</w:t>
      </w:r>
      <w:r>
        <w:rPr>
          <w:rFonts w:hint="eastAsia"/>
          <w:vertAlign w:val="superscript"/>
        </w:rPr>
        <w:t>[</w:t>
      </w:r>
      <w:r>
        <w:rPr>
          <w:vertAlign w:val="superscript"/>
        </w:rPr>
        <w:t>2</w:t>
      </w:r>
      <w:r>
        <w:rPr>
          <w:rFonts w:hint="eastAsia"/>
          <w:vertAlign w:val="superscript"/>
        </w:rPr>
        <w:t>9</w:t>
      </w:r>
      <w:r>
        <w:rPr>
          <w:vertAlign w:val="superscript"/>
        </w:rPr>
        <w:t>]</w:t>
      </w:r>
      <w:r>
        <w:rPr>
          <w:rFonts w:hint="eastAsia"/>
        </w:rPr>
        <w:t>。调节少阳之枢能够畅达经气，治疗如抑郁症、胆汁反流性胃炎、不寐等疾病，临床疗效显著</w:t>
      </w:r>
      <w:r>
        <w:rPr>
          <w:rFonts w:hint="eastAsia"/>
          <w:vertAlign w:val="superscript"/>
        </w:rPr>
        <w:t>[30-33</w:t>
      </w:r>
      <w:r>
        <w:rPr>
          <w:vertAlign w:val="superscript"/>
        </w:rPr>
        <w:t>]</w:t>
      </w:r>
      <w:r>
        <w:rPr>
          <w:rFonts w:hint="eastAsia"/>
        </w:rPr>
        <w:t>。</w:t>
      </w:r>
    </w:p>
    <w:p>
      <w:pPr>
        <w:spacing w:before="156" w:after="156"/>
        <w:rPr>
          <w:rFonts w:ascii="楷体" w:hAnsi="楷体" w:eastAsia="楷体"/>
        </w:rPr>
      </w:pPr>
      <w:r>
        <w:rPr>
          <w:rFonts w:hint="eastAsia" w:ascii="楷体" w:hAnsi="楷体" w:eastAsia="楷体"/>
        </w:rPr>
        <w:t>2</w:t>
      </w:r>
      <w:r>
        <w:rPr>
          <w:rFonts w:ascii="楷体" w:hAnsi="楷体" w:eastAsia="楷体"/>
        </w:rPr>
        <w:t>.</w:t>
      </w:r>
      <w:r>
        <w:rPr>
          <w:rFonts w:hint="eastAsia" w:ascii="楷体" w:hAnsi="楷体" w:eastAsia="楷体"/>
        </w:rPr>
        <w:t>2</w:t>
      </w:r>
      <w:r>
        <w:rPr>
          <w:rFonts w:ascii="楷体" w:hAnsi="楷体" w:eastAsia="楷体"/>
        </w:rPr>
        <w:t>.</w:t>
      </w:r>
      <w:r>
        <w:rPr>
          <w:rFonts w:hint="eastAsia" w:ascii="楷体" w:hAnsi="楷体" w:eastAsia="楷体"/>
        </w:rPr>
        <w:t>3脑——神明之枢</w:t>
      </w:r>
    </w:p>
    <w:p>
      <w:pPr>
        <w:spacing w:before="156" w:after="156"/>
        <w:ind w:firstLine="424" w:firstLineChars="202"/>
      </w:pPr>
      <w:r>
        <w:rPr>
          <w:rFonts w:hint="eastAsia"/>
        </w:rPr>
        <w:t>《灵枢·海论》：“脑为髓之海”，脑为“元神之府”，是生命的枢机，主宰人体的生命活动。陈无择则认为：“头者诸阳之会，上丹产于泥丸宫，百神所聚”，阐明了脑与神的密切关系。神是人体生命活动的主宰及其外在的总体统称，故而脑的正常生理功能对于人体生命活动具有至关重要的作用。张介宾有云：“诸髓者皆属于脑，乃至高之气所聚，此头之气街也”，而头为“诸阳之会”，因此脑是人体阳气汇聚、枢转的重要部位之一。脑的功能异常，轻则导致精神、记忆等功能紊乱，如《医林改错·脑髓说》所言：“所以小儿无记性者，脑髓未满。高年无记性者，脑髓渐空”，重则如《素问•刺禁论》所载：“刺头，中脑户，入脑立死”，立能致命。通过调神健脾、通督调神等途径改善脑的功能，能够治疗如：功能性消化不良、痴呆、眼病的多系统疾病</w:t>
      </w:r>
      <w:r>
        <w:rPr>
          <w:rFonts w:hint="eastAsia"/>
          <w:vertAlign w:val="superscript"/>
        </w:rPr>
        <w:t>[34-37</w:t>
      </w:r>
      <w:r>
        <w:rPr>
          <w:vertAlign w:val="superscript"/>
        </w:rPr>
        <w:t>]</w:t>
      </w:r>
      <w:r>
        <w:rPr>
          <w:rFonts w:hint="eastAsia"/>
        </w:rPr>
        <w:t>。</w:t>
      </w:r>
    </w:p>
    <w:p>
      <w:pPr>
        <w:spacing w:before="156" w:after="156"/>
        <w:rPr>
          <w:rFonts w:ascii="楷体" w:hAnsi="楷体" w:eastAsia="楷体"/>
        </w:rPr>
      </w:pPr>
      <w:r>
        <w:rPr>
          <w:rFonts w:hint="eastAsia" w:ascii="楷体" w:hAnsi="楷体" w:eastAsia="楷体"/>
        </w:rPr>
        <w:t>2.3“通胃”的内涵与外延</w:t>
      </w:r>
    </w:p>
    <w:p>
      <w:pPr>
        <w:spacing w:before="156" w:after="156"/>
        <w:ind w:firstLine="424" w:firstLineChars="202"/>
      </w:pPr>
      <w:r>
        <w:rPr>
          <w:rFonts w:hint="eastAsia"/>
        </w:rPr>
        <w:t>胃的本意指胃腑，</w:t>
      </w:r>
      <w:r>
        <w:rPr>
          <w:rFonts w:hint="eastAsia" w:asciiTheme="minorEastAsia" w:hAnsiTheme="minorEastAsia"/>
        </w:rPr>
        <w:t>“胃”（基本病位）之内涵，</w:t>
      </w:r>
      <w:r>
        <w:rPr>
          <w:rFonts w:hint="eastAsia"/>
        </w:rPr>
        <w:t>《灵枢·本输》：“大肠小肠皆属于胃，是足阳明也”，《伤寒论·辨阳明病脉证并治》则认为：“阳明之为病，胃家实是也”，胃的涵义扩大到了消化道。</w:t>
      </w:r>
      <w:r>
        <w:rPr>
          <w:rFonts w:hint="eastAsia" w:asciiTheme="minorEastAsia" w:hAnsiTheme="minorEastAsia"/>
        </w:rPr>
        <w:t>胃肠二者上下相连，生理上同为传化之腑，功能上相互配合协调，以保证消化过程乃至生命活动的正常进行，如《灵枢·平人绝谷》中曰“胃满则肠虚，肠满则胃虚，更虚更满，故气得上下，五脏安定，血脉和利，精神乃居”。</w:t>
      </w:r>
      <w:r>
        <w:rPr>
          <w:rFonts w:hint="eastAsia"/>
        </w:rPr>
        <w:t>胃与小肠大肠在解剖结构上上下联通，在生理上都具有“实而不能满”的特点，在功能上都是饮食水谷贮存、转化的通道，在病理上相互影响，腑气不通则变生痞满、腹痛、便秘等疾病。</w:t>
      </w:r>
      <w:r>
        <w:rPr>
          <w:rFonts w:hint="eastAsia" w:asciiTheme="minorEastAsia" w:hAnsiTheme="minorEastAsia"/>
        </w:rPr>
        <w:t>脾胃脏腑阴阳对应，若脾胃健旺，吸收运化功能健全，则正气充足，人体不易受到邪气的侵袭，即“四季脾旺不受邪”。若脾胃虚弱，纳运不佳，则人体易受疾病侵袭，即“百病皆由脾胃衰而生也”。在临床中，“通胃”的内涵极其广阔，并不仅指“腑以通为用”，凡是围绕脾胃的特性和生理功能，及脾胃与其他脏腑、经络、五官、九窍、气血、津液的生理病理关系，治疗相关疾病的相关治则治法皆可归为“通胃”法范畴。</w:t>
      </w:r>
    </w:p>
    <w:p>
      <w:pPr>
        <w:spacing w:before="156" w:after="156"/>
        <w:rPr>
          <w:rFonts w:ascii="黑体" w:hAnsi="黑体" w:eastAsia="黑体"/>
          <w:b/>
        </w:rPr>
      </w:pPr>
      <w:r>
        <w:rPr>
          <w:rFonts w:hint="eastAsia" w:ascii="黑体" w:hAnsi="黑体" w:eastAsia="黑体"/>
          <w:b/>
        </w:rPr>
        <w:t xml:space="preserve">2.4“调枢通胃”的临床指导意义 </w:t>
      </w:r>
    </w:p>
    <w:p>
      <w:pPr>
        <w:spacing w:before="156" w:after="156"/>
        <w:ind w:firstLine="424" w:firstLineChars="202"/>
      </w:pPr>
      <w:r>
        <w:rPr>
          <w:rFonts w:hint="eastAsia"/>
        </w:rPr>
        <w:t>“调枢”是指调节、畅达人体生命活动的关键点——枢，具体内涵包括运用如辛开苦降法</w:t>
      </w:r>
      <w:r>
        <w:rPr>
          <w:rFonts w:hint="eastAsia"/>
          <w:vertAlign w:val="superscript"/>
        </w:rPr>
        <w:t>[38-39]</w:t>
      </w:r>
      <w:r>
        <w:rPr>
          <w:rFonts w:hint="eastAsia"/>
        </w:rPr>
        <w:t>、温肾健脾法</w:t>
      </w:r>
      <w:r>
        <w:rPr>
          <w:rFonts w:hint="eastAsia"/>
          <w:vertAlign w:val="superscript"/>
        </w:rPr>
        <w:t>[40]</w:t>
      </w:r>
      <w:r>
        <w:rPr>
          <w:rFonts w:hint="eastAsia"/>
        </w:rPr>
        <w:t>、调肝理脾法</w:t>
      </w:r>
      <w:r>
        <w:rPr>
          <w:rFonts w:hint="eastAsia"/>
          <w:vertAlign w:val="superscript"/>
        </w:rPr>
        <w:t>[41]</w:t>
      </w:r>
      <w:r>
        <w:rPr>
          <w:rFonts w:hint="eastAsia"/>
        </w:rPr>
        <w:t>以及针灸等非药物途径</w:t>
      </w:r>
      <w:r>
        <w:rPr>
          <w:rFonts w:hint="eastAsia"/>
          <w:vertAlign w:val="superscript"/>
        </w:rPr>
        <w:t>[42</w:t>
      </w:r>
      <w:r>
        <w:rPr>
          <w:vertAlign w:val="superscript"/>
        </w:rPr>
        <w:t>]</w:t>
      </w:r>
      <w:r>
        <w:rPr>
          <w:rFonts w:hint="eastAsia"/>
        </w:rPr>
        <w:t>升脾气、降胃气，疏通少阳经气，刺激中枢神经调控，以达到枢机运转流畅、调控稳健的状态。“通胃”是指通过以上“调枢”的各种手段，健运中焦脾胃及疏利少阳，调控胃肠运动、分泌及消化吸收功能、调节脑肠肽和肠道菌群</w:t>
      </w:r>
      <w:r>
        <w:rPr>
          <w:rFonts w:hint="eastAsia"/>
          <w:vertAlign w:val="superscript"/>
        </w:rPr>
        <w:t>[43</w:t>
      </w:r>
      <w:r>
        <w:rPr>
          <w:vertAlign w:val="superscript"/>
        </w:rPr>
        <w:t>]</w:t>
      </w:r>
      <w:r>
        <w:rPr>
          <w:rFonts w:hint="eastAsia"/>
        </w:rPr>
        <w:t>，达到调达胃腑、小肠、大肠，使其功能和合，气机升降出入运转无休的状态。因此，“调枢通胃”被定义为，在临床诊治疾病过程中，采用不同的干预手段，通过整体调节，平衡机体枢机，使其运转流畅，胃腑、小肠、大肠功能和合，以达神经调控稳健的状态。</w:t>
      </w:r>
    </w:p>
    <w:p>
      <w:pPr>
        <w:spacing w:before="156" w:after="156"/>
        <w:ind w:firstLine="424" w:firstLineChars="202"/>
      </w:pPr>
      <w:r>
        <w:rPr>
          <w:rFonts w:hint="eastAsia"/>
        </w:rPr>
        <w:t>在自然科学和现代医学高速发展的当今时代，着眼于中西医理论交汇的风口浪尖，我们应认识到脱胎于传统中医理论的“调枢通胃”理论与现代医学前沿的“脑-肠-微生态轴”异曲同工。生理上，承载“心（脑）-胃（肠）”轴的足阳明胃经联通脑、肠；病理上，调节脾胃、少阳之枢，刺激神经中枢，既能治疗如</w:t>
      </w:r>
      <w:bookmarkStart w:id="2" w:name="_GoBack"/>
      <w:bookmarkEnd w:id="2"/>
      <w:r>
        <w:rPr>
          <w:rFonts w:hint="eastAsia"/>
        </w:rPr>
        <w:t>功能性胃肠病、慢性萎缩性胃炎等胃肠道疾病，又能调节精神心理疾患</w:t>
      </w:r>
      <w:r>
        <w:rPr>
          <w:rFonts w:hint="eastAsia"/>
          <w:vertAlign w:val="superscript"/>
        </w:rPr>
        <w:t>[44</w:t>
      </w:r>
      <w:r>
        <w:rPr>
          <w:vertAlign w:val="superscript"/>
        </w:rPr>
        <w:t>]</w:t>
      </w:r>
      <w:r>
        <w:rPr>
          <w:rFonts w:hint="eastAsia"/>
        </w:rPr>
        <w:t>。</w:t>
      </w:r>
    </w:p>
    <w:p>
      <w:pPr>
        <w:spacing w:before="156" w:after="156"/>
        <w:rPr>
          <w:rFonts w:ascii="黑体" w:hAnsi="黑体" w:eastAsia="黑体"/>
          <w:b/>
        </w:rPr>
      </w:pPr>
      <w:r>
        <w:rPr>
          <w:rFonts w:hint="eastAsia" w:ascii="黑体" w:hAnsi="黑体" w:eastAsia="黑体"/>
          <w:b/>
        </w:rPr>
        <w:t>4.结语与展望</w:t>
      </w:r>
    </w:p>
    <w:p>
      <w:pPr>
        <w:spacing w:before="156" w:after="156"/>
        <w:ind w:firstLine="424" w:firstLineChars="202"/>
      </w:pPr>
      <w:r>
        <w:rPr>
          <w:rFonts w:hint="eastAsia"/>
        </w:rPr>
        <w:t>《病理生理学》</w:t>
      </w:r>
      <w:r>
        <w:rPr>
          <w:rFonts w:hint="eastAsia"/>
          <w:vertAlign w:val="superscript"/>
        </w:rPr>
        <w:t>[45</w:t>
      </w:r>
      <w:r>
        <w:rPr>
          <w:vertAlign w:val="superscript"/>
        </w:rPr>
        <w:t>]</w:t>
      </w:r>
      <w:r>
        <w:rPr>
          <w:rFonts w:hint="eastAsia"/>
        </w:rPr>
        <w:t>定义：“疾病是在一定病因作用下，机体内稳态调节紊乱而导致的异常生命活动过程。在疾病过程中，躯体、精神及社会适应上的完好状态被破坏，机体进入内环境稳态失衡，与环境或社会不相适应的状态。”《中医诊断学》</w:t>
      </w:r>
      <w:r>
        <w:rPr>
          <w:rFonts w:hint="eastAsia"/>
          <w:vertAlign w:val="superscript"/>
        </w:rPr>
        <w:t>[</w:t>
      </w:r>
      <w:r>
        <w:rPr>
          <w:vertAlign w:val="superscript"/>
        </w:rPr>
        <w:t>4</w:t>
      </w:r>
      <w:r>
        <w:rPr>
          <w:rFonts w:hint="eastAsia"/>
          <w:vertAlign w:val="superscript"/>
        </w:rPr>
        <w:t>6</w:t>
      </w:r>
      <w:r>
        <w:rPr>
          <w:vertAlign w:val="superscript"/>
        </w:rPr>
        <w:t>]</w:t>
      </w:r>
      <w:r>
        <w:rPr>
          <w:rFonts w:hint="eastAsia"/>
        </w:rPr>
        <w:t>则认为：“疾病是在致病因素作用下，阴阳失调，脏腑功能失衡，与自然、社会的协调统一遭到破坏的异常状态。”可见，二者都认为疾病是在致病因素（病因）作用下导致了机体内阴阳（稳态）失衡而产生的状态。这表明，中医西医虽然具体理论思想及表述方式不同，但都是对人体生命健康的认知本质是一致的。</w:t>
      </w:r>
    </w:p>
    <w:p>
      <w:pPr>
        <w:spacing w:before="156" w:after="156"/>
        <w:ind w:firstLine="424" w:firstLineChars="202"/>
      </w:pPr>
      <w:r>
        <w:rPr>
          <w:rFonts w:hint="eastAsia"/>
        </w:rPr>
        <w:t>“调枢通胃”理论继承发展于以《黄帝内经》为代表的传统中医基础理论和当代临床经验，启迪于现代医学发展，来源于临床中西医整合医学实践，利用现代医学做基础丰富传统脾胃学说内涵，尤其适用于现代疾病的中西医整合防治工作。“调枢通胃”理论站在人体生命科学的更高角度，指导中西医多手段治疗疾病，为传统中医与现代医学有机结合的开拓了新的道路。“调枢通胃”理论仍需继续丰富，团队着手看展更多明确“调枢通胃”理论在治疗疾病中的作用机制的研究，及立足于本理论的新治疗手段的创新。相信在“调枢通胃”理论的指导下，综合整合中医药、针灸干预的多途径、多靶点治疗，将促进现代医学技术和传统中医理论的更好有机融合，推动中国医学向前发展。</w:t>
      </w:r>
    </w:p>
    <w:p>
      <w:pPr>
        <w:spacing w:before="156" w:after="156"/>
      </w:pPr>
    </w:p>
    <w:p>
      <w:pPr>
        <w:spacing w:before="156" w:after="156"/>
        <w:rPr>
          <w:rFonts w:ascii="Calibri" w:hAnsi="Calibri"/>
        </w:rPr>
      </w:pPr>
      <w:r>
        <w:rPr>
          <w:rFonts w:hint="eastAsia" w:ascii="Calibri" w:hAnsi="Calibri"/>
        </w:rPr>
        <w:t>参考文献：</w:t>
      </w:r>
    </w:p>
    <w:p>
      <w:pPr>
        <w:pStyle w:val="15"/>
        <w:numPr>
          <w:ilvl w:val="0"/>
          <w:numId w:val="1"/>
        </w:numPr>
        <w:spacing w:before="156" w:after="156"/>
        <w:ind w:firstLineChars="0"/>
      </w:pPr>
      <w:r>
        <w:t>王东军,俞屹婷,顾超</w:t>
      </w:r>
      <w:r>
        <w:rPr>
          <w:rFonts w:hint="eastAsia"/>
        </w:rPr>
        <w:t>，等</w:t>
      </w:r>
      <w:r>
        <w:t xml:space="preserve">.东垣“风药”钩玄[J].中华中医药杂志,2016,31(8):3106-3108.  </w:t>
      </w:r>
    </w:p>
    <w:p>
      <w:pPr>
        <w:pStyle w:val="15"/>
        <w:numPr>
          <w:ilvl w:val="0"/>
          <w:numId w:val="1"/>
        </w:numPr>
        <w:spacing w:before="156" w:after="156"/>
        <w:ind w:firstLineChars="0"/>
      </w:pPr>
      <w:r>
        <w:t>周育平.路志正升阳除湿法运用特点[J].中医杂志,2016,57(9):731-733.</w:t>
      </w:r>
    </w:p>
    <w:p>
      <w:pPr>
        <w:pStyle w:val="15"/>
        <w:numPr>
          <w:ilvl w:val="0"/>
          <w:numId w:val="1"/>
        </w:numPr>
        <w:spacing w:before="156" w:after="156"/>
        <w:ind w:firstLineChars="0"/>
      </w:pPr>
      <w:r>
        <w:t xml:space="preserve">刘子号.叶天士脾胃分治理论临床运用浅析[J].中医药临床杂志,2015,27(8):1103-1105.  </w:t>
      </w:r>
    </w:p>
    <w:p>
      <w:pPr>
        <w:pStyle w:val="15"/>
        <w:numPr>
          <w:ilvl w:val="0"/>
          <w:numId w:val="1"/>
        </w:numPr>
        <w:spacing w:before="156" w:after="156"/>
        <w:ind w:firstLineChars="0"/>
      </w:pPr>
      <w:r>
        <w:t>张志威,管佳畅,沈正先,</w:t>
      </w:r>
      <w:r>
        <w:rPr>
          <w:rFonts w:hint="eastAsia"/>
        </w:rPr>
        <w:t>等</w:t>
      </w:r>
      <w:r>
        <w:t>.脾胃分治思想的源流与临床应用[J].环球中医药,2014,7(8):622-624.</w:t>
      </w:r>
    </w:p>
    <w:p>
      <w:pPr>
        <w:pStyle w:val="15"/>
        <w:numPr>
          <w:ilvl w:val="0"/>
          <w:numId w:val="1"/>
        </w:numPr>
        <w:spacing w:before="156" w:after="156"/>
        <w:ind w:firstLineChars="0"/>
      </w:pPr>
      <w:r>
        <w:t>葛惠男.叶天士治胃四法探析[J].中医杂志,2015,56(15):1344-1345</w:t>
      </w:r>
      <w:r>
        <w:rPr>
          <w:rFonts w:hint="eastAsia"/>
        </w:rPr>
        <w:t>,</w:t>
      </w:r>
      <w:r>
        <w:t>1348.</w:t>
      </w:r>
    </w:p>
    <w:p>
      <w:pPr>
        <w:pStyle w:val="15"/>
        <w:numPr>
          <w:ilvl w:val="0"/>
          <w:numId w:val="1"/>
        </w:numPr>
        <w:spacing w:before="156" w:after="156"/>
        <w:ind w:firstLineChars="0"/>
      </w:pPr>
      <w:r>
        <w:t>顾珈裔,魏玮.路志正调理脾胃学术思想[J].辽宁中医杂志,2013,40(7):1323-1324.</w:t>
      </w:r>
    </w:p>
    <w:p>
      <w:pPr>
        <w:pStyle w:val="15"/>
        <w:numPr>
          <w:ilvl w:val="0"/>
          <w:numId w:val="1"/>
        </w:numPr>
        <w:spacing w:before="156" w:after="156"/>
        <w:ind w:firstLineChars="0"/>
        <w:rPr>
          <w:rFonts w:ascii="Calibri" w:hAnsi="Calibri" w:cs="Times New Roman"/>
          <w:kern w:val="0"/>
        </w:rPr>
      </w:pPr>
      <w:r>
        <w:rPr>
          <w:rFonts w:ascii="Calibri" w:hAnsi="Calibri" w:cs="Times New Roman"/>
          <w:kern w:val="0"/>
        </w:rPr>
        <w:t>Mayer</w:t>
      </w:r>
      <w:r>
        <w:rPr>
          <w:rFonts w:hint="eastAsia" w:ascii="Calibri" w:hAnsi="Calibri" w:cs="Times New Roman"/>
          <w:kern w:val="0"/>
        </w:rPr>
        <w:t xml:space="preserve"> </w:t>
      </w:r>
      <w:r>
        <w:rPr>
          <w:rFonts w:ascii="Calibri" w:hAnsi="Calibri" w:cs="Times New Roman"/>
          <w:kern w:val="0"/>
        </w:rPr>
        <w:t>EA. Gut feelings: the emerging biology of gut-brain communication</w:t>
      </w:r>
      <w:r>
        <w:rPr>
          <w:rFonts w:ascii="Calibri" w:hAnsi="Calibri" w:eastAsia="宋体" w:cs="Times New Roman"/>
          <w:kern w:val="0"/>
        </w:rPr>
        <w:t>[J]</w:t>
      </w:r>
      <w:r>
        <w:rPr>
          <w:rFonts w:ascii="Calibri" w:hAnsi="Calibri" w:cs="Times New Roman"/>
          <w:kern w:val="0"/>
        </w:rPr>
        <w:t>. Nat Rev Neurosci. 2011;12(8):453-66.</w:t>
      </w:r>
    </w:p>
    <w:p>
      <w:pPr>
        <w:pStyle w:val="15"/>
        <w:numPr>
          <w:ilvl w:val="0"/>
          <w:numId w:val="1"/>
        </w:numPr>
        <w:spacing w:before="156" w:after="156"/>
        <w:ind w:firstLineChars="0"/>
        <w:rPr>
          <w:rFonts w:ascii="Calibri" w:hAnsi="Calibri" w:eastAsia="宋体" w:cs="Times New Roman"/>
          <w:kern w:val="0"/>
        </w:rPr>
      </w:pPr>
      <w:r>
        <w:rPr>
          <w:rFonts w:ascii="Calibri" w:hAnsi="Calibri" w:eastAsia="宋体" w:cs="Times New Roman"/>
          <w:kern w:val="0"/>
        </w:rPr>
        <w:t>DROSSMAN D A, HASLER W L. Rome IV—Functional GI Disorders: Disorders of Gut-Brain Interaction[J]. Gastroenterology, 2016, 150(6): 1257–1261.</w:t>
      </w:r>
    </w:p>
    <w:p>
      <w:pPr>
        <w:pStyle w:val="15"/>
        <w:numPr>
          <w:ilvl w:val="0"/>
          <w:numId w:val="1"/>
        </w:numPr>
        <w:spacing w:before="156" w:after="156"/>
        <w:ind w:firstLineChars="0"/>
        <w:rPr>
          <w:rFonts w:ascii="Calibri" w:hAnsi="Calibri" w:eastAsia="宋体"/>
        </w:rPr>
      </w:pPr>
      <w:r>
        <w:rPr>
          <w:rFonts w:ascii="Calibri" w:hAnsi="Calibri" w:eastAsia="宋体" w:cs="Times New Roman"/>
          <w:kern w:val="0"/>
        </w:rPr>
        <w:t>GRUNDY D, AL–CHAER E D, AZIZ Q, et al. Fundamentals of Neurogastroenterology: Basic Science[J]. Gastroenterology, 2006, 130(5): 1391–1411.</w:t>
      </w:r>
    </w:p>
    <w:p>
      <w:pPr>
        <w:pStyle w:val="15"/>
        <w:numPr>
          <w:ilvl w:val="0"/>
          <w:numId w:val="1"/>
        </w:numPr>
        <w:spacing w:before="156" w:after="156"/>
        <w:ind w:firstLineChars="0"/>
        <w:rPr>
          <w:rFonts w:ascii="Calibri" w:hAnsi="Calibri" w:cs="Times New Roman"/>
          <w:kern w:val="0"/>
        </w:rPr>
      </w:pPr>
      <w:r>
        <w:rPr>
          <w:rFonts w:ascii="Calibri" w:hAnsi="Calibri" w:eastAsia="宋体" w:cs="MS Mincho"/>
          <w:kern w:val="0"/>
        </w:rPr>
        <w:t>刘燕君</w:t>
      </w:r>
      <w:r>
        <w:rPr>
          <w:rFonts w:ascii="Calibri" w:hAnsi="Calibri" w:eastAsia="宋体" w:cs="Times New Roman"/>
          <w:kern w:val="0"/>
        </w:rPr>
        <w:t xml:space="preserve">, </w:t>
      </w:r>
      <w:r>
        <w:rPr>
          <w:rFonts w:ascii="Calibri" w:hAnsi="Calibri" w:eastAsia="宋体" w:cs="MS Mincho"/>
          <w:kern w:val="0"/>
        </w:rPr>
        <w:t>佟</w:t>
      </w:r>
      <w:r>
        <w:rPr>
          <w:rFonts w:ascii="Calibri" w:hAnsi="Calibri" w:eastAsia="宋体" w:cs="宋体"/>
          <w:kern w:val="0"/>
        </w:rPr>
        <w:t>丽</w:t>
      </w:r>
      <w:r>
        <w:rPr>
          <w:rFonts w:ascii="Calibri" w:hAnsi="Calibri" w:eastAsia="宋体" w:cs="Times New Roman"/>
          <w:kern w:val="0"/>
        </w:rPr>
        <w:t xml:space="preserve">, </w:t>
      </w:r>
      <w:r>
        <w:rPr>
          <w:rFonts w:ascii="Calibri" w:hAnsi="Calibri" w:eastAsia="宋体" w:cs="宋体"/>
          <w:kern w:val="0"/>
        </w:rPr>
        <w:t>鲁思凡</w:t>
      </w:r>
      <w:r>
        <w:rPr>
          <w:rFonts w:ascii="Calibri" w:hAnsi="Calibri" w:eastAsia="宋体" w:cs="Times New Roman"/>
          <w:kern w:val="0"/>
        </w:rPr>
        <w:t xml:space="preserve">, </w:t>
      </w:r>
      <w:r>
        <w:rPr>
          <w:rFonts w:ascii="Calibri" w:hAnsi="Calibri" w:eastAsia="宋体" w:cs="MS Mincho"/>
          <w:kern w:val="0"/>
        </w:rPr>
        <w:t>等</w:t>
      </w:r>
      <w:r>
        <w:rPr>
          <w:rFonts w:ascii="Calibri" w:hAnsi="Calibri" w:eastAsia="宋体" w:cs="Times New Roman"/>
          <w:kern w:val="0"/>
        </w:rPr>
        <w:t xml:space="preserve">. </w:t>
      </w:r>
      <w:r>
        <w:rPr>
          <w:rFonts w:ascii="Calibri" w:hAnsi="Calibri" w:eastAsia="宋体" w:cs="MS Mincho"/>
          <w:kern w:val="0"/>
        </w:rPr>
        <w:t>胃康宁</w:t>
      </w:r>
      <w:r>
        <w:rPr>
          <w:rFonts w:ascii="Calibri" w:hAnsi="Calibri" w:eastAsia="宋体" w:cs="宋体"/>
          <w:kern w:val="0"/>
        </w:rPr>
        <w:t>对</w:t>
      </w:r>
      <w:r>
        <w:rPr>
          <w:rFonts w:ascii="Calibri" w:hAnsi="Calibri" w:eastAsia="宋体" w:cs="MS Mincho"/>
          <w:kern w:val="0"/>
        </w:rPr>
        <w:t>人胃黏膜上皮</w:t>
      </w:r>
      <w:r>
        <w:rPr>
          <w:rFonts w:ascii="Calibri" w:hAnsi="Calibri" w:eastAsia="宋体" w:cs="宋体"/>
          <w:kern w:val="0"/>
        </w:rPr>
        <w:t>细</w:t>
      </w:r>
      <w:r>
        <w:rPr>
          <w:rFonts w:ascii="Calibri" w:hAnsi="Calibri" w:eastAsia="宋体" w:cs="MS Mincho"/>
          <w:kern w:val="0"/>
        </w:rPr>
        <w:t>胞</w:t>
      </w:r>
      <w:r>
        <w:rPr>
          <w:rFonts w:ascii="Calibri" w:hAnsi="Calibri" w:eastAsia="宋体" w:cs="宋体"/>
          <w:kern w:val="0"/>
        </w:rPr>
        <w:t>电压</w:t>
      </w:r>
      <w:r>
        <w:rPr>
          <w:rFonts w:ascii="Calibri" w:hAnsi="Calibri" w:eastAsia="宋体" w:cs="MS Mincho"/>
          <w:kern w:val="0"/>
        </w:rPr>
        <w:t>依</w:t>
      </w:r>
      <w:r>
        <w:rPr>
          <w:rFonts w:ascii="Calibri" w:hAnsi="Calibri" w:eastAsia="宋体" w:cs="宋体"/>
          <w:kern w:val="0"/>
        </w:rPr>
        <w:t>赖</w:t>
      </w:r>
      <w:r>
        <w:rPr>
          <w:rFonts w:ascii="Calibri" w:hAnsi="Calibri" w:eastAsia="宋体" w:cs="MS Mincho"/>
          <w:kern w:val="0"/>
        </w:rPr>
        <w:t>性阴离子通道沉默与</w:t>
      </w:r>
      <w:r>
        <w:rPr>
          <w:rFonts w:ascii="Calibri" w:hAnsi="Calibri" w:eastAsia="宋体" w:cs="宋体"/>
          <w:kern w:val="0"/>
        </w:rPr>
        <w:t>过</w:t>
      </w:r>
      <w:r>
        <w:rPr>
          <w:rFonts w:ascii="Calibri" w:hAnsi="Calibri" w:eastAsia="宋体" w:cs="MS Mincho"/>
          <w:kern w:val="0"/>
        </w:rPr>
        <w:t>表达后</w:t>
      </w:r>
      <w:r>
        <w:rPr>
          <w:rFonts w:ascii="Calibri" w:hAnsi="Calibri" w:eastAsia="宋体" w:cs="宋体"/>
          <w:kern w:val="0"/>
        </w:rPr>
        <w:t>细</w:t>
      </w:r>
      <w:r>
        <w:rPr>
          <w:rFonts w:ascii="Calibri" w:hAnsi="Calibri" w:eastAsia="宋体" w:cs="MS Mincho"/>
          <w:kern w:val="0"/>
        </w:rPr>
        <w:t>胞能量代</w:t>
      </w:r>
      <w:r>
        <w:rPr>
          <w:rFonts w:ascii="Calibri" w:hAnsi="Calibri" w:eastAsia="宋体" w:cs="宋体"/>
          <w:kern w:val="0"/>
        </w:rPr>
        <w:t>谢</w:t>
      </w:r>
      <w:r>
        <w:rPr>
          <w:rFonts w:ascii="Calibri" w:hAnsi="Calibri" w:eastAsia="宋体" w:cs="MS Mincho"/>
          <w:kern w:val="0"/>
        </w:rPr>
        <w:t>的作用</w:t>
      </w:r>
      <w:r>
        <w:rPr>
          <w:rFonts w:ascii="Calibri" w:hAnsi="Calibri" w:eastAsia="宋体" w:cs="Times New Roman"/>
          <w:kern w:val="0"/>
        </w:rPr>
        <w:t xml:space="preserve">[J]. </w:t>
      </w:r>
      <w:r>
        <w:rPr>
          <w:rFonts w:ascii="Calibri" w:hAnsi="Calibri" w:eastAsia="宋体" w:cs="MS Mincho"/>
          <w:kern w:val="0"/>
        </w:rPr>
        <w:t>中医</w:t>
      </w:r>
      <w:r>
        <w:rPr>
          <w:rFonts w:ascii="Calibri" w:hAnsi="Calibri" w:eastAsia="宋体" w:cs="宋体"/>
          <w:kern w:val="0"/>
        </w:rPr>
        <w:t>杂</w:t>
      </w:r>
      <w:r>
        <w:rPr>
          <w:rFonts w:ascii="Calibri" w:hAnsi="Calibri" w:eastAsia="宋体" w:cs="MS Mincho"/>
          <w:kern w:val="0"/>
        </w:rPr>
        <w:t>志</w:t>
      </w:r>
      <w:r>
        <w:rPr>
          <w:rFonts w:ascii="Calibri" w:hAnsi="Calibri" w:eastAsia="宋体" w:cs="Times New Roman"/>
          <w:kern w:val="0"/>
        </w:rPr>
        <w:t xml:space="preserve">, 2016, 57(4): 332–336. </w:t>
      </w:r>
    </w:p>
    <w:p>
      <w:pPr>
        <w:pStyle w:val="15"/>
        <w:numPr>
          <w:ilvl w:val="0"/>
          <w:numId w:val="1"/>
        </w:numPr>
        <w:spacing w:before="156" w:after="156"/>
        <w:ind w:firstLineChars="0"/>
        <w:rPr>
          <w:rFonts w:ascii="Calibri" w:hAnsi="Calibri" w:eastAsia="宋体" w:cs="MS Mincho"/>
          <w:kern w:val="0"/>
        </w:rPr>
      </w:pPr>
      <w:r>
        <w:rPr>
          <w:rFonts w:ascii="Calibri" w:hAnsi="Calibri" w:eastAsia="宋体" w:cs="MS Mincho"/>
          <w:kern w:val="0"/>
        </w:rPr>
        <w:t>邢德刚, 董艳芬, 梁燕玲, 等. 半夏泻心汤对功能性消化不良大鼠Cajal间质细胞超微结构的影响[J]. 广东药学院学报, 2012, 28(3): 336–338.</w:t>
      </w:r>
    </w:p>
    <w:p>
      <w:pPr>
        <w:pStyle w:val="15"/>
        <w:numPr>
          <w:ilvl w:val="0"/>
          <w:numId w:val="1"/>
        </w:numPr>
        <w:spacing w:before="156" w:after="156"/>
        <w:ind w:firstLineChars="0"/>
        <w:rPr>
          <w:rFonts w:ascii="Calibri" w:hAnsi="Calibri" w:cs="Times New Roman"/>
          <w:kern w:val="0"/>
        </w:rPr>
      </w:pPr>
      <w:r>
        <w:rPr>
          <w:rFonts w:ascii="Calibri" w:hAnsi="Calibri" w:eastAsia="宋体" w:cs="Times New Roman"/>
          <w:kern w:val="0"/>
        </w:rPr>
        <w:t>BARBARA G, FEINLE-BISSET C, GHOSHAL U C, et al. The Intestinal Microenvironment and Functional Gastrointestinal Disorders[J]. Gastroenterology, 2016, 150(6): 1305–1318.e8.</w:t>
      </w:r>
    </w:p>
    <w:p>
      <w:pPr>
        <w:pStyle w:val="15"/>
        <w:numPr>
          <w:ilvl w:val="0"/>
          <w:numId w:val="1"/>
        </w:numPr>
        <w:spacing w:before="156" w:after="156"/>
        <w:ind w:firstLineChars="0"/>
      </w:pPr>
      <w:r>
        <w:t>王蓓,苏晓兰,张晓红,</w:t>
      </w:r>
      <w:r>
        <w:rPr>
          <w:rFonts w:ascii="Calibri" w:hAnsi="Calibri" w:eastAsia="宋体" w:cs="MS Mincho"/>
          <w:kern w:val="0"/>
        </w:rPr>
        <w:t xml:space="preserve"> 等</w:t>
      </w:r>
      <w:r>
        <w:t xml:space="preserve">.辛开苦降法治疗功能性消化不良的效果与安全性评价[J].中国医药导报,2016,13(25):112-117.  </w:t>
      </w:r>
    </w:p>
    <w:p>
      <w:pPr>
        <w:pStyle w:val="15"/>
        <w:numPr>
          <w:ilvl w:val="0"/>
          <w:numId w:val="1"/>
        </w:numPr>
        <w:spacing w:before="156" w:after="156"/>
        <w:ind w:firstLineChars="0"/>
      </w:pPr>
      <w:r>
        <w:t>张旖晴,郭宇,刘涛,</w:t>
      </w:r>
      <w:r>
        <w:rPr>
          <w:rFonts w:ascii="Calibri" w:hAnsi="Calibri" w:eastAsia="宋体" w:cs="MS Mincho"/>
          <w:kern w:val="0"/>
        </w:rPr>
        <w:t xml:space="preserve"> 等</w:t>
      </w:r>
      <w:r>
        <w:t>.辛开苦降法治疗寒热错杂型胆汁反流性胃炎疗效观察[J].陕西中医,2017,38(07):901-902.</w:t>
      </w:r>
    </w:p>
    <w:p>
      <w:pPr>
        <w:pStyle w:val="15"/>
        <w:numPr>
          <w:ilvl w:val="0"/>
          <w:numId w:val="1"/>
        </w:numPr>
        <w:spacing w:before="156" w:after="156"/>
        <w:ind w:firstLineChars="0"/>
      </w:pPr>
      <w:r>
        <w:t>魏玮,郝建军,田俊.辛开苦降法对功能性消化不良大鼠胃壁肌电活动和自主神经功能的影响[J].中华中医药杂志,2008</w:t>
      </w:r>
      <w:r>
        <w:rPr>
          <w:rFonts w:hint="eastAsia"/>
        </w:rPr>
        <w:t>,2</w:t>
      </w:r>
      <w:r>
        <w:t xml:space="preserve">3(9):837-839.  </w:t>
      </w:r>
    </w:p>
    <w:p>
      <w:pPr>
        <w:pStyle w:val="15"/>
        <w:numPr>
          <w:ilvl w:val="0"/>
          <w:numId w:val="1"/>
        </w:numPr>
        <w:spacing w:before="156" w:after="156"/>
        <w:ind w:firstLineChars="0"/>
      </w:pPr>
      <w:r>
        <w:t>顾珈裔.辛开苦降法治疗慢性萎缩性胃炎机制探讨[C].</w:t>
      </w:r>
      <w:r>
        <w:rPr>
          <w:rFonts w:hint="eastAsia"/>
        </w:rPr>
        <w:t>//</w:t>
      </w:r>
      <w:r>
        <w:t>中华中医药学会脾胃病分会.中华中医药学会脾胃病分会第二十四次全国脾胃病学术交流会论文汇编.中华中医药学会脾胃病分会:,2012:1.</w:t>
      </w:r>
    </w:p>
    <w:p>
      <w:pPr>
        <w:pStyle w:val="15"/>
        <w:numPr>
          <w:ilvl w:val="0"/>
          <w:numId w:val="1"/>
        </w:numPr>
        <w:spacing w:before="156" w:after="156"/>
        <w:ind w:firstLineChars="0"/>
      </w:pPr>
      <w:r>
        <w:t>苏晓兰,魏茹涵,魏玮,等.温肾健脾法对腹泻型肠易激综合征大鼠血清T细胞亚群表达的影响[J]. 中国中西医结合杂志, 2015,35(4):457-460.</w:t>
      </w:r>
    </w:p>
    <w:p>
      <w:pPr>
        <w:pStyle w:val="15"/>
        <w:numPr>
          <w:ilvl w:val="0"/>
          <w:numId w:val="1"/>
        </w:numPr>
        <w:spacing w:before="156" w:after="156"/>
        <w:ind w:firstLineChars="0"/>
      </w:pPr>
      <w:r>
        <w:t>王孟凯, 周震. 论枢机在人体中的生理特点[J]. 光明中医, 2014, 29(10): 2158–215</w:t>
      </w:r>
      <w:r>
        <w:rPr>
          <w:rFonts w:hint="eastAsia"/>
        </w:rPr>
        <w:t>.</w:t>
      </w:r>
    </w:p>
    <w:p>
      <w:pPr>
        <w:pStyle w:val="15"/>
        <w:numPr>
          <w:ilvl w:val="0"/>
          <w:numId w:val="1"/>
        </w:numPr>
        <w:spacing w:before="156" w:after="156"/>
        <w:ind w:firstLineChars="0"/>
      </w:pPr>
      <w:r>
        <w:t>郭宇,苏晓兰,宋熠林,等.脾胃升降理论与经典方剂的临床应用[J].辽宁中医杂志,2016,43(04):731-733.</w:t>
      </w:r>
    </w:p>
    <w:p>
      <w:pPr>
        <w:pStyle w:val="15"/>
        <w:numPr>
          <w:ilvl w:val="0"/>
          <w:numId w:val="1"/>
        </w:numPr>
        <w:spacing w:before="156" w:after="156"/>
        <w:ind w:firstLineChars="0"/>
      </w:pPr>
      <w:r>
        <w:t>王欣,魏玮.魏玮教授调理脾胃论治疾病核心要素[J].世界中西医结合杂志,2015,10(10):1352-1354.</w:t>
      </w:r>
    </w:p>
    <w:p>
      <w:pPr>
        <w:pStyle w:val="15"/>
        <w:numPr>
          <w:ilvl w:val="0"/>
          <w:numId w:val="1"/>
        </w:numPr>
        <w:spacing w:before="156" w:after="156"/>
        <w:ind w:firstLineChars="0"/>
      </w:pPr>
      <w:r>
        <w:rPr>
          <w:rFonts w:hint="eastAsia"/>
        </w:rPr>
        <w:t>李可,姚涛,张海霞,</w:t>
      </w:r>
      <w:r>
        <w:t xml:space="preserve"> 等</w:t>
      </w:r>
      <w:r>
        <w:rPr>
          <w:rFonts w:hint="eastAsia"/>
        </w:rPr>
        <w:t>.王国斌辨治心瘅经验[J].时珍国医国药,2017,28(5):1281-1282.</w:t>
      </w:r>
    </w:p>
    <w:p>
      <w:pPr>
        <w:pStyle w:val="15"/>
        <w:numPr>
          <w:ilvl w:val="0"/>
          <w:numId w:val="1"/>
        </w:numPr>
        <w:spacing w:before="156" w:after="156"/>
        <w:ind w:firstLineChars="0"/>
      </w:pPr>
      <w:r>
        <w:rPr>
          <w:rFonts w:hint="eastAsia"/>
        </w:rPr>
        <w:t>许勇,陶颖,苟小军.非酒精性脂肪肝中医病因病机探析[J].中华中医药学刊,2016,34(11):2586-2589.</w:t>
      </w:r>
    </w:p>
    <w:p>
      <w:pPr>
        <w:pStyle w:val="15"/>
        <w:numPr>
          <w:ilvl w:val="0"/>
          <w:numId w:val="1"/>
        </w:numPr>
        <w:spacing w:before="156" w:after="156"/>
        <w:ind w:firstLineChars="0"/>
      </w:pPr>
      <w:r>
        <w:rPr>
          <w:rFonts w:hint="eastAsia"/>
        </w:rPr>
        <w:t>沈莉丽,罗舒茜,张晓甦.傅青主治疗不孕之脏腑经络观浅析[J].环球中医药,2016,9(10):1221-1222.</w:t>
      </w:r>
    </w:p>
    <w:p>
      <w:pPr>
        <w:pStyle w:val="15"/>
        <w:numPr>
          <w:ilvl w:val="0"/>
          <w:numId w:val="1"/>
        </w:numPr>
        <w:spacing w:before="156" w:after="156"/>
        <w:ind w:firstLineChars="0"/>
      </w:pPr>
      <w:r>
        <w:rPr>
          <w:rFonts w:hint="eastAsia"/>
        </w:rPr>
        <w:t>马丽佳,徐洪洁,曲妮妮.从脾胃论治肺胀[J].中华中医药学刊,2013,31(09):2033-2035.</w:t>
      </w:r>
    </w:p>
    <w:p>
      <w:pPr>
        <w:pStyle w:val="15"/>
        <w:numPr>
          <w:ilvl w:val="0"/>
          <w:numId w:val="1"/>
        </w:numPr>
        <w:spacing w:before="156" w:after="156"/>
        <w:ind w:firstLineChars="0"/>
      </w:pPr>
      <w:r>
        <w:rPr>
          <w:rFonts w:hint="eastAsia"/>
        </w:rPr>
        <w:t>章波,卢建新,高荣林.调理脾胃法治疗失眠的源流探讨[J].中华中医药杂志,2011,26(06):1282-1285.</w:t>
      </w:r>
    </w:p>
    <w:p>
      <w:pPr>
        <w:pStyle w:val="15"/>
        <w:numPr>
          <w:ilvl w:val="0"/>
          <w:numId w:val="1"/>
        </w:numPr>
        <w:spacing w:before="156" w:after="156"/>
        <w:ind w:firstLineChars="0"/>
      </w:pPr>
      <w:r>
        <w:rPr>
          <w:rFonts w:hint="eastAsia"/>
        </w:rPr>
        <w:t>丰广魁.“枢机”探微[J]. 中国中医药信息杂志, 2006, 13(7): 6-7.</w:t>
      </w:r>
    </w:p>
    <w:p>
      <w:pPr>
        <w:pStyle w:val="15"/>
        <w:numPr>
          <w:ilvl w:val="0"/>
          <w:numId w:val="1"/>
        </w:numPr>
        <w:spacing w:before="156" w:after="156"/>
        <w:ind w:firstLineChars="0"/>
      </w:pPr>
      <w:r>
        <w:t>梁永林,李金田,王凯莉, 等.基于“少阳为枢”图解大阴阳旦汤[J].中华中医药杂志,2016,31(11):4442-4445.</w:t>
      </w:r>
    </w:p>
    <w:p>
      <w:pPr>
        <w:pStyle w:val="15"/>
        <w:numPr>
          <w:ilvl w:val="0"/>
          <w:numId w:val="1"/>
        </w:numPr>
        <w:spacing w:before="156" w:after="156"/>
        <w:ind w:firstLineChars="0"/>
      </w:pPr>
      <w:r>
        <w:t>吴同玉,陶国水.顾植山从“少阳为枢”角度运用柴胡桂枝干姜汤治验体会[J].中华中医药杂志,2018,33(1):168-170.</w:t>
      </w:r>
    </w:p>
    <w:p>
      <w:pPr>
        <w:pStyle w:val="15"/>
        <w:numPr>
          <w:ilvl w:val="0"/>
          <w:numId w:val="1"/>
        </w:numPr>
        <w:spacing w:before="156" w:after="156"/>
        <w:ind w:firstLineChars="0"/>
      </w:pPr>
      <w:r>
        <w:t>周玉平,邓棋卫,黄勇,何晓晖.何晓晖辨治胆病经验[J].中医杂志,2010,51(12):1068-1069.</w:t>
      </w:r>
    </w:p>
    <w:p>
      <w:pPr>
        <w:pStyle w:val="15"/>
        <w:numPr>
          <w:ilvl w:val="0"/>
          <w:numId w:val="1"/>
        </w:numPr>
        <w:spacing w:before="156" w:after="156"/>
        <w:ind w:firstLineChars="0"/>
      </w:pPr>
      <w:r>
        <w:rPr>
          <w:rFonts w:hint="eastAsia"/>
        </w:rPr>
        <w:t>芦文娟,韩庆林,李书迪.疏利少阳法治疗抑郁症理论探讨[J].山东中医药大学学报,2017,41(4):307-309,316.</w:t>
      </w:r>
    </w:p>
    <w:p>
      <w:pPr>
        <w:pStyle w:val="15"/>
        <w:numPr>
          <w:ilvl w:val="0"/>
          <w:numId w:val="1"/>
        </w:numPr>
        <w:spacing w:before="156" w:after="156"/>
        <w:ind w:firstLineChars="0"/>
      </w:pPr>
      <w:r>
        <w:rPr>
          <w:rFonts w:hint="eastAsia"/>
        </w:rPr>
        <w:t>魏丹霞,谭艳云,李青,等. 国医大师郭子光“厥阴少阳为枢”四逆散方证释义及临床应用[J].中华中医药杂志,2017,32(7):2986-2988.</w:t>
      </w:r>
    </w:p>
    <w:p>
      <w:pPr>
        <w:pStyle w:val="15"/>
        <w:numPr>
          <w:ilvl w:val="0"/>
          <w:numId w:val="1"/>
        </w:numPr>
        <w:spacing w:before="156" w:after="156"/>
        <w:ind w:firstLineChars="0"/>
      </w:pPr>
      <w:r>
        <w:rPr>
          <w:rFonts w:hint="eastAsia"/>
        </w:rPr>
        <w:t>王献献. 基于少阳为枢对胆汁反流性胃炎的临床干预研究[D].山东中医药大学,2017.</w:t>
      </w:r>
    </w:p>
    <w:p>
      <w:pPr>
        <w:pStyle w:val="15"/>
        <w:numPr>
          <w:ilvl w:val="0"/>
          <w:numId w:val="1"/>
        </w:numPr>
        <w:spacing w:before="156" w:after="156"/>
        <w:ind w:firstLineChars="0"/>
      </w:pPr>
      <w:r>
        <w:rPr>
          <w:rFonts w:hint="eastAsia"/>
        </w:rPr>
        <w:t>叶新翠,李宏.顾植山运用“开阖枢”理论治疗不寐验案举隅[J].光明中医,2016,31(19):2873-2875.</w:t>
      </w:r>
    </w:p>
    <w:p>
      <w:pPr>
        <w:pStyle w:val="15"/>
        <w:numPr>
          <w:ilvl w:val="0"/>
          <w:numId w:val="1"/>
        </w:numPr>
        <w:spacing w:before="156" w:after="156"/>
        <w:ind w:firstLineChars="0"/>
      </w:pPr>
      <w:r>
        <w:rPr>
          <w:rFonts w:hint="eastAsia"/>
        </w:rPr>
        <w:t>桑海滨,张宏.从“形神合一”探讨针刺调神治疗眼病[J].中华中医药杂志,2016,31(7):2736-2738.</w:t>
      </w:r>
    </w:p>
    <w:p>
      <w:pPr>
        <w:pStyle w:val="15"/>
        <w:numPr>
          <w:ilvl w:val="0"/>
          <w:numId w:val="1"/>
        </w:numPr>
        <w:spacing w:before="156" w:after="156"/>
        <w:ind w:firstLineChars="0"/>
      </w:pPr>
      <w:r>
        <w:rPr>
          <w:rFonts w:hint="eastAsia"/>
        </w:rPr>
        <w:t>张玲,张国庆,韩为,等.通督调神针刺治疗血管性痴呆的临床疗效观察[J].中医药临床杂志,2015,27(6):780-783.</w:t>
      </w:r>
    </w:p>
    <w:p>
      <w:pPr>
        <w:pStyle w:val="15"/>
        <w:numPr>
          <w:ilvl w:val="0"/>
          <w:numId w:val="1"/>
        </w:numPr>
        <w:spacing w:before="156" w:after="156"/>
        <w:ind w:firstLineChars="0"/>
      </w:pPr>
      <w:r>
        <w:rPr>
          <w:rFonts w:hint="eastAsia"/>
        </w:rPr>
        <w:t>刘文志,李军艳.调神健胃汤治疗功能性消化不良的作用机制研究[J].世界中西医结合杂志,2015,10(4):479-482.</w:t>
      </w:r>
    </w:p>
    <w:p>
      <w:pPr>
        <w:pStyle w:val="15"/>
        <w:numPr>
          <w:ilvl w:val="0"/>
          <w:numId w:val="1"/>
        </w:numPr>
        <w:spacing w:before="156" w:after="156"/>
        <w:ind w:firstLineChars="0"/>
      </w:pPr>
      <w:r>
        <w:t>张建非,魏玮,苏晓兰.魏玮教授辛开苦降法治疗功能性便秘经验总结[J].中国社区医师,2017,33(24):87</w:t>
      </w:r>
      <w:r>
        <w:rPr>
          <w:rFonts w:hint="eastAsia"/>
        </w:rPr>
        <w:t>,</w:t>
      </w:r>
      <w:r>
        <w:t xml:space="preserve">89.  </w:t>
      </w:r>
    </w:p>
    <w:p>
      <w:pPr>
        <w:pStyle w:val="15"/>
        <w:numPr>
          <w:ilvl w:val="0"/>
          <w:numId w:val="1"/>
        </w:numPr>
        <w:spacing w:before="156" w:after="156"/>
        <w:ind w:firstLineChars="0"/>
      </w:pPr>
      <w:r>
        <w:t>侯理伟,史海霞,苏晓兰,</w:t>
      </w:r>
      <w:r>
        <w:rPr>
          <w:rFonts w:hint="eastAsia"/>
        </w:rPr>
        <w:t>等</w:t>
      </w:r>
      <w:r>
        <w:t xml:space="preserve">.辛开苦降法治疗慢性萎缩性胃炎的疗效的meta分析[J].中国中西医结合消化杂志,2016,24(11):832-838. </w:t>
      </w:r>
    </w:p>
    <w:p>
      <w:pPr>
        <w:pStyle w:val="15"/>
        <w:numPr>
          <w:ilvl w:val="0"/>
          <w:numId w:val="1"/>
        </w:numPr>
        <w:spacing w:before="156" w:after="156"/>
        <w:ind w:firstLineChars="0"/>
      </w:pPr>
      <w:r>
        <w:t>李依洁,王燕丽,魏玮.辛开苦降法治疗胃食管反流病随机对照试验系统评价与Meta分析[J].世界中西医结合杂志,2015,10(11):1490-1495.</w:t>
      </w:r>
    </w:p>
    <w:p>
      <w:pPr>
        <w:pStyle w:val="15"/>
        <w:numPr>
          <w:ilvl w:val="0"/>
          <w:numId w:val="1"/>
        </w:numPr>
        <w:spacing w:before="156" w:after="156"/>
        <w:ind w:firstLineChars="0"/>
      </w:pPr>
      <w:r>
        <w:t>郭宇,苏晓兰,李依洁,</w:t>
      </w:r>
      <w:r>
        <w:rPr>
          <w:rFonts w:hint="eastAsia"/>
        </w:rPr>
        <w:t>等</w:t>
      </w:r>
      <w:r>
        <w:t xml:space="preserve">.温脾健肾方对腹泻型肠易激综合征大鼠结肠黏膜5-羟色胺及其受体的影响[J].上海中医药杂志,2016,50(10):86-91.  </w:t>
      </w:r>
    </w:p>
    <w:p>
      <w:pPr>
        <w:pStyle w:val="15"/>
        <w:numPr>
          <w:ilvl w:val="0"/>
          <w:numId w:val="1"/>
        </w:numPr>
        <w:spacing w:before="156" w:after="156"/>
        <w:ind w:firstLineChars="0"/>
      </w:pPr>
      <w:r>
        <w:t>张立宏.调肝理脾法治疗非酒精性脂肪肝临床观察[J].中国医药导报,2017,14(13):84-87.</w:t>
      </w:r>
    </w:p>
    <w:p>
      <w:pPr>
        <w:pStyle w:val="15"/>
        <w:numPr>
          <w:ilvl w:val="0"/>
          <w:numId w:val="1"/>
        </w:numPr>
        <w:spacing w:before="156" w:after="156"/>
        <w:ind w:firstLineChars="0"/>
      </w:pPr>
      <w:r>
        <w:t>李亮,荣培晶,罗曼,</w:t>
      </w:r>
      <w:r>
        <w:rPr>
          <w:rFonts w:hint="eastAsia"/>
        </w:rPr>
        <w:t>等</w:t>
      </w:r>
      <w:r>
        <w:t>.内脏伤害性传入易化体表穴区功能的中枢机制[J].中国针灸,2015,35(11):1187-1191.</w:t>
      </w:r>
    </w:p>
    <w:p>
      <w:pPr>
        <w:pStyle w:val="15"/>
        <w:numPr>
          <w:ilvl w:val="0"/>
          <w:numId w:val="1"/>
        </w:numPr>
        <w:spacing w:before="156" w:after="156"/>
        <w:ind w:firstLineChars="0"/>
      </w:pPr>
      <w:r>
        <w:t>覃佩兰,成泽东.基于脑肠轴学说探讨针灸对肠道菌群调节的思考[J].时珍国医国药,2015,26(11):2712-2714.</w:t>
      </w:r>
    </w:p>
    <w:p>
      <w:pPr>
        <w:pStyle w:val="15"/>
        <w:numPr>
          <w:ilvl w:val="0"/>
          <w:numId w:val="1"/>
        </w:numPr>
        <w:spacing w:before="156" w:after="156"/>
        <w:ind w:firstLineChars="0"/>
      </w:pPr>
      <w:r>
        <w:t>孙双喜,白小欣.从中医生理病理角度谈对脑肠轴的认识[J].陕西中医,2017,38(6):787-788.</w:t>
      </w:r>
    </w:p>
    <w:p>
      <w:pPr>
        <w:pStyle w:val="15"/>
        <w:numPr>
          <w:ilvl w:val="0"/>
          <w:numId w:val="1"/>
        </w:numPr>
        <w:spacing w:before="156" w:after="156"/>
        <w:ind w:firstLineChars="0"/>
      </w:pPr>
      <w:r>
        <w:rPr>
          <w:rFonts w:hint="eastAsia"/>
        </w:rPr>
        <w:t>王建枝, 殷莲华.病理生理学[M].北京:人民卫生出版社, 2013:5.</w:t>
      </w:r>
    </w:p>
    <w:p>
      <w:pPr>
        <w:pStyle w:val="15"/>
        <w:numPr>
          <w:ilvl w:val="0"/>
          <w:numId w:val="1"/>
        </w:numPr>
        <w:spacing w:before="156" w:after="156"/>
        <w:ind w:firstLineChars="0"/>
      </w:pPr>
      <w:r>
        <w:rPr>
          <w:rFonts w:hint="eastAsia"/>
        </w:rPr>
        <w:t>李灿东, 吴承玉.中医诊断学[M].北京:中国中医药出版社, 2012:</w:t>
      </w:r>
      <w:r>
        <w:t>7</w:t>
      </w:r>
      <w:r>
        <w:rPr>
          <w:rFonts w:hint="eastAsia"/>
        </w:rPr>
        <w:t>.</w:t>
      </w:r>
    </w:p>
    <w:p>
      <w:pPr>
        <w:spacing w:before="156" w:after="156"/>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CQY" w:date="2018-02-28T16:53:00Z" w:initials="CQY">
    <w:p w14:paraId="79140349">
      <w:pPr>
        <w:pStyle w:val="3"/>
        <w:spacing w:before="156" w:after="156"/>
      </w:pPr>
      <w:r>
        <w:rPr>
          <w:rFonts w:hint="eastAsia"/>
        </w:rPr>
        <w:t>如果无法及时提供证明，请务必核查基金编号是否准确。</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914034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8000012" w:usb3="00000000" w:csb0="4002009F" w:csb1="DFD7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120" w:after="1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B65A8"/>
    <w:multiLevelType w:val="multilevel"/>
    <w:tmpl w:val="111B65A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QY">
    <w15:presenceInfo w15:providerId="None" w15:userId="CQ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2D"/>
    <w:rsid w:val="00005689"/>
    <w:rsid w:val="00006868"/>
    <w:rsid w:val="000103D1"/>
    <w:rsid w:val="00010AAD"/>
    <w:rsid w:val="00032467"/>
    <w:rsid w:val="000424E5"/>
    <w:rsid w:val="000572BA"/>
    <w:rsid w:val="00060DA4"/>
    <w:rsid w:val="00077910"/>
    <w:rsid w:val="0008342F"/>
    <w:rsid w:val="000A463A"/>
    <w:rsid w:val="000A5791"/>
    <w:rsid w:val="000A7F7D"/>
    <w:rsid w:val="000C13B9"/>
    <w:rsid w:val="000E5783"/>
    <w:rsid w:val="00107D02"/>
    <w:rsid w:val="00123C01"/>
    <w:rsid w:val="00127BA0"/>
    <w:rsid w:val="00131BAF"/>
    <w:rsid w:val="001332D1"/>
    <w:rsid w:val="00136BFC"/>
    <w:rsid w:val="00142891"/>
    <w:rsid w:val="00173258"/>
    <w:rsid w:val="00183105"/>
    <w:rsid w:val="00195C8D"/>
    <w:rsid w:val="001A0546"/>
    <w:rsid w:val="001A39F2"/>
    <w:rsid w:val="001B3339"/>
    <w:rsid w:val="001C2ED2"/>
    <w:rsid w:val="001D4870"/>
    <w:rsid w:val="001D5887"/>
    <w:rsid w:val="002014B9"/>
    <w:rsid w:val="00202095"/>
    <w:rsid w:val="0021591E"/>
    <w:rsid w:val="002159BA"/>
    <w:rsid w:val="00227AF1"/>
    <w:rsid w:val="00237E77"/>
    <w:rsid w:val="002427CA"/>
    <w:rsid w:val="00245E8F"/>
    <w:rsid w:val="002507C7"/>
    <w:rsid w:val="002576A3"/>
    <w:rsid w:val="00261EE6"/>
    <w:rsid w:val="0027314F"/>
    <w:rsid w:val="002A1EA7"/>
    <w:rsid w:val="002A58A1"/>
    <w:rsid w:val="002B0451"/>
    <w:rsid w:val="002C2456"/>
    <w:rsid w:val="002D216F"/>
    <w:rsid w:val="002D428C"/>
    <w:rsid w:val="002E0E55"/>
    <w:rsid w:val="002E30B6"/>
    <w:rsid w:val="002F35FB"/>
    <w:rsid w:val="002F3ED7"/>
    <w:rsid w:val="002F4822"/>
    <w:rsid w:val="002F6E01"/>
    <w:rsid w:val="002F7FB7"/>
    <w:rsid w:val="00313A13"/>
    <w:rsid w:val="00323676"/>
    <w:rsid w:val="00341B2D"/>
    <w:rsid w:val="00343703"/>
    <w:rsid w:val="00351171"/>
    <w:rsid w:val="00354862"/>
    <w:rsid w:val="00356B85"/>
    <w:rsid w:val="00357937"/>
    <w:rsid w:val="00362FDD"/>
    <w:rsid w:val="00364645"/>
    <w:rsid w:val="0036633D"/>
    <w:rsid w:val="003875CA"/>
    <w:rsid w:val="00397C35"/>
    <w:rsid w:val="003B3189"/>
    <w:rsid w:val="003C11DA"/>
    <w:rsid w:val="003D09CE"/>
    <w:rsid w:val="003E3509"/>
    <w:rsid w:val="003F48C3"/>
    <w:rsid w:val="003F727F"/>
    <w:rsid w:val="003F7C61"/>
    <w:rsid w:val="0040366B"/>
    <w:rsid w:val="004047D9"/>
    <w:rsid w:val="004175B1"/>
    <w:rsid w:val="00420BAD"/>
    <w:rsid w:val="00425EC4"/>
    <w:rsid w:val="00454EA3"/>
    <w:rsid w:val="00457E90"/>
    <w:rsid w:val="00471450"/>
    <w:rsid w:val="00472256"/>
    <w:rsid w:val="00481F3E"/>
    <w:rsid w:val="00484DFE"/>
    <w:rsid w:val="00487296"/>
    <w:rsid w:val="004B46B2"/>
    <w:rsid w:val="004C3C04"/>
    <w:rsid w:val="004E374F"/>
    <w:rsid w:val="00500A9D"/>
    <w:rsid w:val="00504E22"/>
    <w:rsid w:val="005112FF"/>
    <w:rsid w:val="0051527F"/>
    <w:rsid w:val="005320A8"/>
    <w:rsid w:val="00532D68"/>
    <w:rsid w:val="005357B0"/>
    <w:rsid w:val="00537E70"/>
    <w:rsid w:val="00552B39"/>
    <w:rsid w:val="0056443E"/>
    <w:rsid w:val="005764F6"/>
    <w:rsid w:val="00584421"/>
    <w:rsid w:val="0058567B"/>
    <w:rsid w:val="00594EEF"/>
    <w:rsid w:val="005A5BF8"/>
    <w:rsid w:val="005B18CD"/>
    <w:rsid w:val="005C352C"/>
    <w:rsid w:val="005C438F"/>
    <w:rsid w:val="005C751C"/>
    <w:rsid w:val="006132D7"/>
    <w:rsid w:val="006232DB"/>
    <w:rsid w:val="00623CC2"/>
    <w:rsid w:val="00637FAD"/>
    <w:rsid w:val="00642F8F"/>
    <w:rsid w:val="006431E6"/>
    <w:rsid w:val="00650108"/>
    <w:rsid w:val="0066617F"/>
    <w:rsid w:val="006721AB"/>
    <w:rsid w:val="00686AFC"/>
    <w:rsid w:val="00697F46"/>
    <w:rsid w:val="0071005B"/>
    <w:rsid w:val="007139F5"/>
    <w:rsid w:val="007227C2"/>
    <w:rsid w:val="00727B70"/>
    <w:rsid w:val="0073491E"/>
    <w:rsid w:val="007400C2"/>
    <w:rsid w:val="00746963"/>
    <w:rsid w:val="007610A8"/>
    <w:rsid w:val="007619E8"/>
    <w:rsid w:val="00780239"/>
    <w:rsid w:val="007803F4"/>
    <w:rsid w:val="007C6364"/>
    <w:rsid w:val="007D1E88"/>
    <w:rsid w:val="007D2211"/>
    <w:rsid w:val="007E40C3"/>
    <w:rsid w:val="007E5B74"/>
    <w:rsid w:val="007F011C"/>
    <w:rsid w:val="00810321"/>
    <w:rsid w:val="00814F34"/>
    <w:rsid w:val="00822000"/>
    <w:rsid w:val="00823000"/>
    <w:rsid w:val="00830AAE"/>
    <w:rsid w:val="00832C7A"/>
    <w:rsid w:val="00835D82"/>
    <w:rsid w:val="00862760"/>
    <w:rsid w:val="00862D3A"/>
    <w:rsid w:val="00870F2A"/>
    <w:rsid w:val="00872933"/>
    <w:rsid w:val="00884965"/>
    <w:rsid w:val="00896475"/>
    <w:rsid w:val="008A3EC8"/>
    <w:rsid w:val="008C4F01"/>
    <w:rsid w:val="008C59CF"/>
    <w:rsid w:val="008D468A"/>
    <w:rsid w:val="008D699E"/>
    <w:rsid w:val="008E25B1"/>
    <w:rsid w:val="008F156D"/>
    <w:rsid w:val="008F26FC"/>
    <w:rsid w:val="008F7612"/>
    <w:rsid w:val="00912AEE"/>
    <w:rsid w:val="009266FF"/>
    <w:rsid w:val="0092740B"/>
    <w:rsid w:val="00941BE2"/>
    <w:rsid w:val="00955464"/>
    <w:rsid w:val="00956CFF"/>
    <w:rsid w:val="009643AA"/>
    <w:rsid w:val="00984007"/>
    <w:rsid w:val="00985A58"/>
    <w:rsid w:val="0098620B"/>
    <w:rsid w:val="00990FE0"/>
    <w:rsid w:val="009948AE"/>
    <w:rsid w:val="00994AE3"/>
    <w:rsid w:val="009A1A1F"/>
    <w:rsid w:val="009A1CD9"/>
    <w:rsid w:val="009C36B0"/>
    <w:rsid w:val="009C6224"/>
    <w:rsid w:val="009F349E"/>
    <w:rsid w:val="00A05BE5"/>
    <w:rsid w:val="00A07C4A"/>
    <w:rsid w:val="00A107D7"/>
    <w:rsid w:val="00A13EBC"/>
    <w:rsid w:val="00A17537"/>
    <w:rsid w:val="00A260D4"/>
    <w:rsid w:val="00A2779A"/>
    <w:rsid w:val="00A303B3"/>
    <w:rsid w:val="00A3738E"/>
    <w:rsid w:val="00A43DF3"/>
    <w:rsid w:val="00A47008"/>
    <w:rsid w:val="00A57F0C"/>
    <w:rsid w:val="00A71F9E"/>
    <w:rsid w:val="00A77FD4"/>
    <w:rsid w:val="00AC322B"/>
    <w:rsid w:val="00AE4B99"/>
    <w:rsid w:val="00AF1768"/>
    <w:rsid w:val="00AF1BD5"/>
    <w:rsid w:val="00AF73C5"/>
    <w:rsid w:val="00AF7704"/>
    <w:rsid w:val="00B124E7"/>
    <w:rsid w:val="00B31704"/>
    <w:rsid w:val="00B56A45"/>
    <w:rsid w:val="00B57777"/>
    <w:rsid w:val="00B62A84"/>
    <w:rsid w:val="00B633DF"/>
    <w:rsid w:val="00B64957"/>
    <w:rsid w:val="00B6495C"/>
    <w:rsid w:val="00B71268"/>
    <w:rsid w:val="00B72F14"/>
    <w:rsid w:val="00B90626"/>
    <w:rsid w:val="00B91CFD"/>
    <w:rsid w:val="00BB23AF"/>
    <w:rsid w:val="00BB4043"/>
    <w:rsid w:val="00BB5257"/>
    <w:rsid w:val="00BD2FCB"/>
    <w:rsid w:val="00BE5FF1"/>
    <w:rsid w:val="00BE7674"/>
    <w:rsid w:val="00BF1703"/>
    <w:rsid w:val="00BF5152"/>
    <w:rsid w:val="00BF5D6A"/>
    <w:rsid w:val="00BF66FF"/>
    <w:rsid w:val="00BF69B2"/>
    <w:rsid w:val="00C0225B"/>
    <w:rsid w:val="00C03EC8"/>
    <w:rsid w:val="00C21D1B"/>
    <w:rsid w:val="00C221C9"/>
    <w:rsid w:val="00C26F80"/>
    <w:rsid w:val="00C356A8"/>
    <w:rsid w:val="00C554B2"/>
    <w:rsid w:val="00C5600C"/>
    <w:rsid w:val="00C62FFA"/>
    <w:rsid w:val="00CA16BF"/>
    <w:rsid w:val="00CA1D67"/>
    <w:rsid w:val="00CB34A9"/>
    <w:rsid w:val="00CB55EC"/>
    <w:rsid w:val="00CC2B56"/>
    <w:rsid w:val="00CC3588"/>
    <w:rsid w:val="00CD1FD3"/>
    <w:rsid w:val="00CD4E9F"/>
    <w:rsid w:val="00D05B92"/>
    <w:rsid w:val="00D05BBB"/>
    <w:rsid w:val="00D06C87"/>
    <w:rsid w:val="00D10415"/>
    <w:rsid w:val="00D4148E"/>
    <w:rsid w:val="00D42E02"/>
    <w:rsid w:val="00D45E91"/>
    <w:rsid w:val="00D5158A"/>
    <w:rsid w:val="00D5256B"/>
    <w:rsid w:val="00D72EC2"/>
    <w:rsid w:val="00D73CE7"/>
    <w:rsid w:val="00D85635"/>
    <w:rsid w:val="00D911B9"/>
    <w:rsid w:val="00DA3B74"/>
    <w:rsid w:val="00DB0532"/>
    <w:rsid w:val="00DB4E35"/>
    <w:rsid w:val="00DC50A3"/>
    <w:rsid w:val="00DD0E6B"/>
    <w:rsid w:val="00DE3BD6"/>
    <w:rsid w:val="00DE6C14"/>
    <w:rsid w:val="00DF4082"/>
    <w:rsid w:val="00DF6BE4"/>
    <w:rsid w:val="00E065BB"/>
    <w:rsid w:val="00E24998"/>
    <w:rsid w:val="00E3526E"/>
    <w:rsid w:val="00E46267"/>
    <w:rsid w:val="00E53B1E"/>
    <w:rsid w:val="00E71183"/>
    <w:rsid w:val="00E71261"/>
    <w:rsid w:val="00E928FF"/>
    <w:rsid w:val="00E95B85"/>
    <w:rsid w:val="00E96D6B"/>
    <w:rsid w:val="00EA3935"/>
    <w:rsid w:val="00EA75B0"/>
    <w:rsid w:val="00EB2E74"/>
    <w:rsid w:val="00EC33E4"/>
    <w:rsid w:val="00EC3B99"/>
    <w:rsid w:val="00EC3DB9"/>
    <w:rsid w:val="00ED15C2"/>
    <w:rsid w:val="00ED3A18"/>
    <w:rsid w:val="00EE1574"/>
    <w:rsid w:val="00EE48C8"/>
    <w:rsid w:val="00EF5F4D"/>
    <w:rsid w:val="00F13DD5"/>
    <w:rsid w:val="00F23336"/>
    <w:rsid w:val="00F3094D"/>
    <w:rsid w:val="00F3143F"/>
    <w:rsid w:val="00F31B0F"/>
    <w:rsid w:val="00F50730"/>
    <w:rsid w:val="00F6497C"/>
    <w:rsid w:val="00F9006C"/>
    <w:rsid w:val="00F91EF7"/>
    <w:rsid w:val="00FA02AE"/>
    <w:rsid w:val="00FB3DE0"/>
    <w:rsid w:val="00FC0276"/>
    <w:rsid w:val="07D62D42"/>
    <w:rsid w:val="16771AE6"/>
    <w:rsid w:val="17E05447"/>
    <w:rsid w:val="1B566D8C"/>
    <w:rsid w:val="1E072DB8"/>
    <w:rsid w:val="23B64EC6"/>
    <w:rsid w:val="2F2A4871"/>
    <w:rsid w:val="319D1963"/>
    <w:rsid w:val="32B87AFE"/>
    <w:rsid w:val="33400E47"/>
    <w:rsid w:val="3A9130F2"/>
    <w:rsid w:val="3C4D0152"/>
    <w:rsid w:val="3DC30885"/>
    <w:rsid w:val="3ED805FF"/>
    <w:rsid w:val="3F991960"/>
    <w:rsid w:val="3FE44139"/>
    <w:rsid w:val="417E1D07"/>
    <w:rsid w:val="42F70911"/>
    <w:rsid w:val="43A541B1"/>
    <w:rsid w:val="45623217"/>
    <w:rsid w:val="46B3174F"/>
    <w:rsid w:val="4C7228E9"/>
    <w:rsid w:val="4DFB3DAA"/>
    <w:rsid w:val="4F667AC6"/>
    <w:rsid w:val="50F55E1F"/>
    <w:rsid w:val="51181C64"/>
    <w:rsid w:val="52FE7FE3"/>
    <w:rsid w:val="56E41D36"/>
    <w:rsid w:val="59B22AB8"/>
    <w:rsid w:val="636A1B52"/>
    <w:rsid w:val="64EF0DDE"/>
    <w:rsid w:val="76D014F8"/>
    <w:rsid w:val="77725BD9"/>
    <w:rsid w:val="7E8D2161"/>
    <w:rsid w:val="7F4A7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afterLines="50" w:line="276" w:lineRule="auto"/>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0"/>
    <w:semiHidden/>
    <w:unhideWhenUsed/>
    <w:uiPriority w:val="99"/>
    <w:rPr>
      <w:b/>
      <w:bCs/>
    </w:rPr>
  </w:style>
  <w:style w:type="paragraph" w:styleId="3">
    <w:name w:val="annotation text"/>
    <w:basedOn w:val="1"/>
    <w:link w:val="19"/>
    <w:semiHidden/>
    <w:unhideWhenUsed/>
    <w:uiPriority w:val="99"/>
    <w:pPr>
      <w:jc w:val="left"/>
    </w:pPr>
  </w:style>
  <w:style w:type="paragraph" w:styleId="4">
    <w:name w:val="Balloon Text"/>
    <w:basedOn w:val="1"/>
    <w:link w:val="18"/>
    <w:semiHidden/>
    <w:unhideWhenUsed/>
    <w:uiPriority w:val="99"/>
    <w:pPr>
      <w:spacing w:line="240" w:lineRule="auto"/>
    </w:pPr>
    <w:rPr>
      <w:sz w:val="18"/>
      <w:szCs w:val="18"/>
    </w:rPr>
  </w:style>
  <w:style w:type="paragraph" w:styleId="5">
    <w:name w:val="footer"/>
    <w:basedOn w:val="1"/>
    <w:link w:val="14"/>
    <w:semiHidden/>
    <w:unhideWhenUsed/>
    <w:uiPriority w:val="99"/>
    <w:pPr>
      <w:tabs>
        <w:tab w:val="center" w:pos="4153"/>
        <w:tab w:val="right" w:pos="8306"/>
      </w:tabs>
      <w:snapToGrid w:val="0"/>
      <w:jc w:val="left"/>
    </w:pPr>
    <w:rPr>
      <w:sz w:val="18"/>
      <w:szCs w:val="18"/>
    </w:rPr>
  </w:style>
  <w:style w:type="paragraph" w:styleId="6">
    <w:name w:val="header"/>
    <w:basedOn w:val="1"/>
    <w:link w:val="13"/>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6"/>
    <w:semiHidden/>
    <w:unhideWhenUsed/>
    <w:uiPriority w:val="99"/>
    <w:pPr>
      <w:snapToGrid w:val="0"/>
      <w:jc w:val="left"/>
    </w:pPr>
    <w:rPr>
      <w:sz w:val="18"/>
      <w:szCs w:val="18"/>
    </w:rPr>
  </w:style>
  <w:style w:type="paragraph" w:styleId="8">
    <w:name w:val="Title"/>
    <w:basedOn w:val="1"/>
    <w:next w:val="1"/>
    <w:link w:val="17"/>
    <w:qFormat/>
    <w:uiPriority w:val="10"/>
    <w:pPr>
      <w:spacing w:before="240" w:after="60"/>
      <w:jc w:val="center"/>
      <w:outlineLvl w:val="0"/>
    </w:pPr>
    <w:rPr>
      <w:rFonts w:eastAsia="宋体" w:asciiTheme="majorHAnsi" w:hAnsiTheme="majorHAnsi" w:cstheme="majorBidi"/>
      <w:b/>
      <w:bCs/>
      <w:sz w:val="32"/>
      <w:szCs w:val="32"/>
    </w:rPr>
  </w:style>
  <w:style w:type="character" w:styleId="10">
    <w:name w:val="annotation reference"/>
    <w:basedOn w:val="9"/>
    <w:semiHidden/>
    <w:unhideWhenUsed/>
    <w:uiPriority w:val="99"/>
    <w:rPr>
      <w:sz w:val="21"/>
      <w:szCs w:val="21"/>
    </w:rPr>
  </w:style>
  <w:style w:type="character" w:styleId="11">
    <w:name w:val="footnote reference"/>
    <w:basedOn w:val="9"/>
    <w:semiHidden/>
    <w:unhideWhenUsed/>
    <w:uiPriority w:val="99"/>
    <w:rPr>
      <w:vertAlign w:val="superscript"/>
    </w:rPr>
  </w:style>
  <w:style w:type="character" w:customStyle="1" w:styleId="13">
    <w:name w:val="页眉 字符"/>
    <w:basedOn w:val="9"/>
    <w:link w:val="6"/>
    <w:semiHidden/>
    <w:uiPriority w:val="99"/>
    <w:rPr>
      <w:sz w:val="18"/>
      <w:szCs w:val="18"/>
    </w:rPr>
  </w:style>
  <w:style w:type="character" w:customStyle="1" w:styleId="14">
    <w:name w:val="页脚 字符"/>
    <w:basedOn w:val="9"/>
    <w:link w:val="5"/>
    <w:semiHidden/>
    <w:uiPriority w:val="99"/>
    <w:rPr>
      <w:sz w:val="18"/>
      <w:szCs w:val="18"/>
    </w:rPr>
  </w:style>
  <w:style w:type="paragraph" w:styleId="15">
    <w:name w:val="List Paragraph"/>
    <w:basedOn w:val="1"/>
    <w:qFormat/>
    <w:uiPriority w:val="34"/>
    <w:pPr>
      <w:ind w:firstLine="420" w:firstLineChars="200"/>
    </w:pPr>
  </w:style>
  <w:style w:type="character" w:customStyle="1" w:styleId="16">
    <w:name w:val="脚注文本 字符"/>
    <w:basedOn w:val="9"/>
    <w:link w:val="7"/>
    <w:semiHidden/>
    <w:uiPriority w:val="99"/>
    <w:rPr>
      <w:sz w:val="18"/>
      <w:szCs w:val="18"/>
    </w:rPr>
  </w:style>
  <w:style w:type="character" w:customStyle="1" w:styleId="17">
    <w:name w:val="标题 字符"/>
    <w:basedOn w:val="9"/>
    <w:link w:val="8"/>
    <w:uiPriority w:val="10"/>
    <w:rPr>
      <w:rFonts w:eastAsia="宋体" w:asciiTheme="majorHAnsi" w:hAnsiTheme="majorHAnsi" w:cstheme="majorBidi"/>
      <w:b/>
      <w:bCs/>
      <w:kern w:val="2"/>
      <w:sz w:val="32"/>
      <w:szCs w:val="32"/>
    </w:rPr>
  </w:style>
  <w:style w:type="character" w:customStyle="1" w:styleId="18">
    <w:name w:val="批注框文本 字符"/>
    <w:basedOn w:val="9"/>
    <w:link w:val="4"/>
    <w:semiHidden/>
    <w:uiPriority w:val="99"/>
    <w:rPr>
      <w:kern w:val="2"/>
      <w:sz w:val="18"/>
      <w:szCs w:val="18"/>
    </w:rPr>
  </w:style>
  <w:style w:type="character" w:customStyle="1" w:styleId="19">
    <w:name w:val="批注文字 字符"/>
    <w:basedOn w:val="9"/>
    <w:link w:val="3"/>
    <w:semiHidden/>
    <w:uiPriority w:val="99"/>
    <w:rPr>
      <w:kern w:val="2"/>
      <w:sz w:val="21"/>
      <w:szCs w:val="22"/>
    </w:rPr>
  </w:style>
  <w:style w:type="character" w:customStyle="1" w:styleId="20">
    <w:name w:val="批注主题 字符"/>
    <w:basedOn w:val="19"/>
    <w:link w:val="2"/>
    <w:semiHidden/>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1710</Words>
  <Characters>9753</Characters>
  <Lines>81</Lines>
  <Paragraphs>22</Paragraphs>
  <TotalTime>7</TotalTime>
  <ScaleCrop>false</ScaleCrop>
  <LinksUpToDate>false</LinksUpToDate>
  <CharactersWithSpaces>11441</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2018-03-01T04:07:00Z</dcterms:created>
  <dc:creator>webuser</dc:creator>
  <cp:lastModifiedBy>夏荷薇薇</cp:lastModifiedBy>
  <cp:lastPrinted>2018-02-28T06:41:00Z</cp:lastPrinted>
  <dcterms:modified xsi:type="dcterms:W3CDTF">2018-11-27T00:32:11Z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