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 xml:space="preserve">经营状况及安全性指标表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545"/>
        <w:gridCol w:w="1830"/>
        <w:gridCol w:w="258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指标说明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相关数据在报告中所在页码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注：数据来源应为已披露的2023年年度报告或者2023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年经审计年度报告中的净资产总额、资本充足率、不良贷款率、资产利润率以及人民币流动性比例，需标注相关数值在报告中所在页码的位置。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37" w:firstLineChars="9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参评银行全称（盖章）_____________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57" w:firstLineChars="15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年   月   日 </w:t>
      </w:r>
    </w:p>
    <w:p>
      <w:pPr>
        <w:ind w:left="0" w:leftChars="0" w:firstLine="2203" w:firstLineChars="918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GRmYTllMDkzNDVkNjZiYjYyNmMwYWEyYzJhNGMifQ=="/>
  </w:docVars>
  <w:rsids>
    <w:rsidRoot w:val="00000000"/>
    <w:rsid w:val="03D14EC4"/>
    <w:rsid w:val="1A083C87"/>
    <w:rsid w:val="200B3C2A"/>
    <w:rsid w:val="31B92700"/>
    <w:rsid w:val="4F3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2021-05-26T06:49:00Z</dcterms:created>
  <dc:creator>yux</dc:creator>
  <cp:lastModifiedBy>H 丶</cp:lastModifiedBy>
  <dcterms:modified xsi:type="dcterms:W3CDTF">2024-03-22T00:59:44Z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E35FB0965B154CD481EF2FEEF5163DD5</vt:lpwstr>
  </property>
</Properties>
</file>